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header.xml" ContentType="application/vnd.openxmlformats-officedocument.wordprocessingml.header+xml"/>
  <Override PartName="/word/footer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tbl>
      <w:tblPr>
        <w:tblW w:w="11906" w:type="dxa"/>
        <w:tblLayout w:type="fixed"/>
      </w:tblPr>
      <w:tblGrid>
        <w:gridCol w:w="11906"/>
      </w:tblGrid>
      <w:tr>
        <w:tc>
          <w:tcPr>
            <w:tcW w:w="11906" w:type="dxa"/>
            <w:shd w:val="clear" w:color="auto" w:fill="0C1E3E"/>
            <w:vAlign w:val="top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pPr>
              <w:spacing w:before="600"/>
            </w:pPr>
          </w:p>
          <w:p>
            <w:r>
              <w:drawing>
                <wp:inline xmlns:wp="http://schemas.openxmlformats.org/drawingml/2006/wordprocessingDrawing" xmlns:a="http://schemas.openxmlformats.org/drawingml/2006/main" xmlns:pic="http://schemas.openxmlformats.org/drawingml/2006/picture" distT="0" distB="0" distL="0" distR="0">
                  <wp:extent cx="2160000" cy="432000"/>
                  <wp:docPr id="3" name="Chinaready cover logo"/>
                  <a:graphic>
                    <a:graphicData uri="http://schemas.openxmlformats.org/drawingml/2006/picture">
                      <pic:pic>
                        <pic:nvPicPr>
                          <pic:cNvPr id="0" name="Chinaready cover logo"/>
                          <pic:cNvPicPr/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0" cy="43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300"/>
            </w:pPr>
          </w:p>
          <w:p>
            <w:r>
              <w:rPr>
                <w:b/>
                <w:bCs/>
                <w:color w:val="7F95B8"/>
                <w:sz w:val="18"/>
                <w:szCs w:val="18"/>
                <w:caps/>
                <w:spacing w:val="80"/>
              </w:rPr>
              <w:t xml:space="preserve">WEEKLY EVIDENCE REPORT</w:t>
            </w:r>
          </w:p>
          <w:p>
            <w:pPr>
              <w:spacing w:after="240"/>
            </w:pPr>
            <w:r>
              <w:rPr>
                <w:b/>
                <w:bCs/>
                <w:color w:val="FFFFFF"/>
                <w:sz w:val="64"/>
                <w:szCs w:val="64"/>
              </w:rPr>
              <w:t xml:space="preserve">Stack Break Weekly</w:t>
            </w:r>
            <w:r>
              <w:rPr>
                <w:b/>
                <w:bCs/>
                <w:color w:val="005BAC"/>
                <w:sz w:val="64"/>
                <w:szCs w:val="64"/>
              </w:rPr>
              <w:t xml:space="preserve">.</w:t>
            </w:r>
          </w:p>
          <w:p>
            <w:r>
              <w:rPr>
                <w:color w:val="B7C2D6"/>
                <w:sz w:val="26"/>
                <w:szCs w:val="26"/>
              </w:rPr>
              <w:t xml:space="preserve">Which foreign web-stack dependencies reached a Beijing node this week.</w:t>
            </w:r>
          </w:p>
          <w:p>
            <w:pPr>
              <w:spacing w:before="700"/>
            </w:pPr>
            <w:r>
              <w:rPr>
                <w:b/>
                <w:bCs/>
                <w:color w:val="7F95B8"/>
                <w:sz w:val="20"/>
                <w:szCs w:val="20"/>
              </w:rPr>
              <w:t xml:space="preserve">Run date  </w:t>
            </w:r>
            <w:r>
              <w:rPr>
                <w:color w:val="FFFFFF"/>
                <w:sz w:val="20"/>
                <w:szCs w:val="20"/>
              </w:rPr>
              <w:t xml:space="preserve">2026-07-26</w:t>
            </w:r>
            <w:r>
              <w:rPr>
                <w:b/>
                <w:bCs/>
                <w:color w:val="7F95B8"/>
                <w:sz w:val="20"/>
                <w:szCs w:val="20"/>
              </w:rPr>
              <w:t xml:space="preserve">      Node  </w:t>
            </w:r>
            <w:r>
              <w:rPr>
                <w:color w:val="FFFFFF"/>
                <w:sz w:val="20"/>
                <w:szCs w:val="20"/>
              </w:rPr>
              <w:t xml:space="preserve">Alibaba Cloud cn-beijing-h</w:t>
            </w:r>
          </w:p>
          <w:p>
            <w:r>
              <w:rPr>
                <w:b/>
                <w:bCs/>
                <w:color w:val="7F95B8"/>
                <w:sz w:val="20"/>
                <w:szCs w:val="20"/>
              </w:rPr>
              <w:t xml:space="preserve">Targets  </w:t>
            </w:r>
            <w:r>
              <w:rPr>
                <w:color w:val="FFFFFF"/>
                <w:sz w:val="20"/>
                <w:szCs w:val="20"/>
              </w:rPr>
              <w:t xml:space="preserve">11 — 5 blocked / 0 degraded / 6 reachable</w:t>
            </w:r>
          </w:p>
          <w:p>
            <w:pPr>
              <w:spacing w:before="2400"/>
            </w:pPr>
          </w:p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stackbreak.launchready.cn</w:t>
            </w:r>
          </w:p>
        </w:tc>
      </w:tr>
    </w:tbl>
    <w:p>
      <w:pPr>
        <w:sectPr>
          <w:type w:val="nextPage"/>
          <w:titlePg/>
          <w:pgSz w:w="11906" w:h="16838"/>
          <w:pgMar w:top="0" w:right="0" w:bottom="0" w:left="0" w:header="0" w:footer="0" w:gutter="0"/>
        </w:sectPr>
      </w:pPr>
    </w:p>
    <w:p>
      <w:pPr>
        <w:spacing w:after="180"/>
        <w:keepNext/>
      </w:pPr>
      <w:r>
        <w:rPr>
          <w:b/>
          <w:bCs/>
          <w:color w:val="0C1E3E"/>
          <w:sz w:val="46"/>
          <w:szCs w:val="46"/>
        </w:rPr>
        <w:t xml:space="preserve">Contents</w:t>
      </w:r>
    </w:p>
    <w:p>
      <w:pPr>
        <w:spacing w:after="60"/>
      </w:pPr>
      <w:r>
        <w:rPr>
          <w:b/>
          <w:bCs/>
          <w:color w:val="005BAC"/>
          <w:sz w:val="24"/>
          <w:szCs w:val="24"/>
        </w:rPr>
        <w:t xml:space="preserve">01   </w:t>
      </w:r>
      <w:r>
        <w:rPr>
          <w:b/>
          <w:bCs/>
          <w:color w:val="0D1B2A"/>
          <w:sz w:val="24"/>
          <w:szCs w:val="24"/>
        </w:rPr>
        <w:t xml:space="preserve">Executive summary</w:t>
      </w:r>
      <w:r>
        <w:rPr>
          <w:color w:val="5A6A80"/>
          <w:sz w:val="20"/>
          <w:szCs w:val="20"/>
        </w:rPr>
        <w:t xml:space="preserve">   — Changes against the previous archived run</w:t>
      </w:r>
    </w:p>
    <w:p>
      <w:pPr>
        <w:spacing w:after="60"/>
      </w:pPr>
      <w:r>
        <w:rPr>
          <w:b/>
          <w:bCs/>
          <w:color w:val="005BAC"/>
          <w:sz w:val="24"/>
          <w:szCs w:val="24"/>
        </w:rPr>
        <w:t xml:space="preserve">02   </w:t>
      </w:r>
      <w:r>
        <w:rPr>
          <w:b/>
          <w:bCs/>
          <w:color w:val="0D1B2A"/>
          <w:sz w:val="24"/>
          <w:szCs w:val="24"/>
        </w:rPr>
        <w:t xml:space="preserve">Verdicts by dependency</w:t>
      </w:r>
      <w:r>
        <w:rPr>
          <w:color w:val="5A6A80"/>
          <w:sz w:val="20"/>
          <w:szCs w:val="20"/>
        </w:rPr>
        <w:t xml:space="preserve">   — All 11 dependencies, blocked first</w:t>
      </w:r>
    </w:p>
    <w:p>
      <w:pPr>
        <w:spacing w:after="60"/>
      </w:pPr>
      <w:r>
        <w:rPr>
          <w:b/>
          <w:bCs/>
          <w:color w:val="005BAC"/>
          <w:sz w:val="24"/>
          <w:szCs w:val="24"/>
        </w:rPr>
        <w:t xml:space="preserve">03   </w:t>
      </w:r>
      <w:r>
        <w:rPr>
          <w:b/>
          <w:bCs/>
          <w:color w:val="0D1B2A"/>
          <w:sz w:val="24"/>
          <w:szCs w:val="24"/>
        </w:rPr>
        <w:t xml:space="preserve">中文摘要</w:t>
      </w:r>
      <w:r>
        <w:rPr>
          <w:color w:val="5A6A80"/>
          <w:sz w:val="20"/>
          <w:szCs w:val="20"/>
        </w:rPr>
        <w:t xml:space="preserve">   — Chinese summary</w:t>
      </w:r>
    </w:p>
    <w:p>
      <w:pPr>
        <w:sectPr>
          <w:type w:val="nextPage"/>
          <w:headerReference w:type="default" r:id="rId1"/>
          <w:footerReference w:type="default" r:id="rId2"/>
          <w:pgSz w:w="11906" w:h="16838"/>
          <w:pgMar w:top="1134" w:right="1247" w:bottom="1134" w:left="1247" w:header="567" w:footer="567" w:gutter="0"/>
        </w:sectPr>
      </w:pPr>
    </w:p>
    <w:p>
      <w:pPr>
        <w:spacing w:after="180"/>
        <w:keepNext/>
      </w:pPr>
      <w:r>
        <w:rPr>
          <w:b/>
          <w:bCs/>
          <w:color w:val="0C1E3E"/>
          <w:sz w:val="46"/>
          <w:szCs w:val="46"/>
        </w:rPr>
        <w:t xml:space="preserve">01   Executive summary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No verdict changes against the previous archived run.</w:t>
      </w:r>
    </w:p>
    <w:p>
      <w:pPr>
        <w:spacing w:after="180"/>
      </w:pPr>
      <w:r>
        <w:rPr>
          <w:i/>
          <w:color w:val="5A6A80"/>
          <w:sz w:val="18"/>
          <w:szCs w:val="18"/>
        </w:rPr>
        <w:t xml:space="preserve">Single-node snapshot from one Beijing run. Verdicts vary by carrier, region, and time. This is measurement evidence, not a legal or compliance conclusion.</w:t>
      </w:r>
    </w:p>
    <w:p>
      <w:pPr>
        <w:sectPr>
          <w:type w:val="nextPage"/>
          <w:headerReference w:type="default" r:id="rId1"/>
          <w:footerReference w:type="default" r:id="rId2"/>
          <w:pgSz w:w="11906" w:h="16838"/>
          <w:pgMar w:top="1134" w:right="1247" w:bottom="1134" w:left="1247" w:header="567" w:footer="567" w:gutter="0"/>
        </w:sectPr>
      </w:pPr>
    </w:p>
    <w:p>
      <w:pPr>
        <w:spacing w:after="180"/>
        <w:keepNext/>
      </w:pPr>
      <w:r>
        <w:rPr>
          <w:b/>
          <w:bCs/>
          <w:color w:val="0C1E3E"/>
          <w:sz w:val="46"/>
          <w:szCs w:val="46"/>
        </w:rPr>
        <w:t xml:space="preserve">02   Verdicts by dependency</w:t>
      </w:r>
    </w:p>
    <w:tbl>
      <w:tblPr>
        <w:tblW w:w="9412" w:type="dxa"/>
        <w:tblLayout w:type="fixed"/>
        <w:tblBorders>
          <w:top w:val="single" w:sz="4" w:color="DDE3EE"/>
          <w:left w:val="single" w:sz="4" w:color="DDE3EE"/>
          <w:bottom w:val="single" w:sz="4" w:color="DDE3EE"/>
          <w:right w:val="single" w:sz="4" w:color="DDE3EE"/>
          <w:insideH w:val="single" w:sz="4" w:color="DDE3EE"/>
          <w:insideV w:val="single" w:sz="4" w:color="DDE3EE"/>
        </w:tblBorders>
      </w:tblPr>
      <w:tblGrid>
        <w:gridCol w:w="2500"/>
        <w:gridCol w:w="900"/>
        <w:gridCol w:w="1100"/>
        <w:gridCol w:w="2300"/>
        <w:gridCol w:w="800"/>
        <w:gridCol w:w="800"/>
        <w:gridCol w:w="1012"/>
      </w:tblGrid>
      <w:tr>
        <w:trPr>
          <w:tblHeader/>
          <w:cantSplit/>
        </w:trPr>
        <w:tc>
          <w:tcPr>
            <w:tcW w:w="25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DEPENDENCY</w:t>
            </w:r>
          </w:p>
        </w:tc>
        <w:tc>
          <w:tcPr>
            <w:tcW w:w="9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TIER</w:t>
            </w:r>
          </w:p>
        </w:tc>
        <w:tc>
          <w:tcPr>
            <w:tcW w:w="11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SAAS</w:t>
            </w:r>
          </w:p>
        </w:tc>
        <w:tc>
          <w:tcPr>
            <w:tcW w:w="23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DOMAIN</w:t>
            </w:r>
          </w:p>
        </w:tc>
        <w:tc>
          <w:tcPr>
            <w:tcW w:w="8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HTTP</w:t>
            </w:r>
          </w:p>
        </w:tc>
        <w:tc>
          <w:tcPr>
            <w:tcW w:w="8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TOTAL S</w:t>
            </w:r>
          </w:p>
        </w:tc>
        <w:tc>
          <w:tcPr>
            <w:tcW w:w="1012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VERDICT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reCAPTCHA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www.google.com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10.002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Sign-In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accounts.google.com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10.002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YouTube embed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www.youtube.com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10.002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Maps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maps.googleapis.com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10.001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Vimeo embed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player.vimeo.com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10.002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Fonts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fonts.googleapis.com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0.230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Material Symbols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fonts.googleapis.com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0.250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Adobe Fonts (Typekit)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use.typekit.net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404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0.724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Auth0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cdn.auth0.com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4.453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Tag Manager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www.googletagmanager.com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0.231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Analytics 4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www.googletagmanager.com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0.254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</w:tbl>
    <w:p>
      <w:pPr>
        <w:sectPr>
          <w:type w:val="nextPage"/>
          <w:headerReference w:type="default" r:id="rId1"/>
          <w:footerReference w:type="default" r:id="rId2"/>
          <w:pgSz w:w="11906" w:h="16838"/>
          <w:pgMar w:top="1134" w:right="1247" w:bottom="1134" w:left="1247" w:header="567" w:footer="567" w:gutter="0"/>
        </w:sectPr>
      </w:pPr>
    </w:p>
    <w:p>
      <w:pPr>
        <w:spacing w:after="180"/>
        <w:keepNext/>
      </w:pPr>
      <w:r>
        <w:rPr>
          <w:b/>
          <w:bCs/>
          <w:color w:val="0C1E3E"/>
          <w:sz w:val="46"/>
          <w:szCs w:val="46"/>
        </w:rPr>
        <w:t xml:space="preserve">03   中文摘要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本页为中文摘要。Stack Break Lab 每周从北京节点实测境外 Web 技术栈依赖在中国大陆的可达性。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本期共测 11 项：可达 6、降速 0、阻断 5。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与上一期归档相比：新被墙 0 项，恢复 0 项。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测试环境：Alibaba Cloud cn-beijing-h（launchready.cn），DNS 223.5.5.5。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完整明细与历史数据见 stackbreak.launchready.cn。</w:t>
      </w:r>
    </w:p>
    <w:p>
      <w:pPr>
        <w:spacing w:after="180"/>
      </w:pPr>
      <w:r>
        <w:rPr>
          <w:i/>
          <w:color w:val="5A6A80"/>
          <w:sz w:val="18"/>
          <w:szCs w:val="18"/>
        </w:rPr>
        <w:t xml:space="preserve">免责声明：本报告为单节点（北京）单次快照，结果随运营商、地区与时间变化；本报告是测量证据，不构成法律或合规结论。</w:t>
      </w:r>
    </w:p>
    <w:p>
      <w:pPr>
        <w:sectPr>
          <w:headerReference w:type="default" r:id="rId1"/>
          <w:footerReference w:type="default" r:id="rId2"/>
          <w:pgSz w:w="11906" w:h="16838"/>
          <w:pgMar w:top="1134" w:right="1247" w:bottom="1134" w:left="1247" w:header="567" w:footer="567" w:gutter="0"/>
        </w:sectPr>
      </w:pPr>
    </w:p>
  </w:body>
</w:document>
</file>

<file path=word/footer.xml><?xml version="1.0" encoding="utf-8"?>
<w:ftr xmlns:w="http://schemas.openxmlformats.org/wordprocessingml/2006/main">
  <w:p>
    <w:pPr>
      <w:tabs>
        <w:tab w:val="right" w:pos="9412"/>
      </w:tabs>
    </w:pPr>
    <w:r>
      <w:rPr>
        <w:color w:val="5A6A80"/>
        <w:sz w:val="18"/>
        <w:szCs w:val="18"/>
      </w:rPr>
      <w:t xml:space="preserve">stackbreak.launchready.cn</w:t>
    </w:r>
    <w:r>
      <w:tab/>
    </w:r>
    <w:r>
      <w:rPr>
        <w:color w:val="5A6A80"/>
        <w:sz w:val="18"/>
        <w:szCs w:val="18"/>
      </w:rPr>
      <w:t xml:space="preserve">PAGE </w:t>
    </w:r>
    <w:fldSimple w:instr="PAGE"/>
  </w:p>
</w:ftr>
</file>

<file path=word/header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Bdr>
        <w:bottom w:val="single" w:sz="4" w:color="DDE3EE"/>
      </w:pBdr>
    </w:pPr>
    <w:r>
      <w:drawing>
        <wp:inline xmlns:wp="http://schemas.openxmlformats.org/drawingml/2006/wordprocessingDrawing" xmlns:a="http://schemas.openxmlformats.org/drawingml/2006/main" xmlns:pic="http://schemas.openxmlformats.org/drawingml/2006/picture" distT="0" distB="0" distL="0" distR="0">
          <wp:extent cx="1900000" cy="420000"/>
          <wp:docPr id="1" name="Chinaready header logo"/>
          <a:graphic>
            <a:graphicData uri="http://schemas.openxmlformats.org/drawingml/2006/picture">
              <pic:pic>
                <pic:nvPicPr>
                  <pic:cNvPr id="0" name="Chinaready header logo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900000" cy="4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header" Target="header.xml"/><Relationship Id="rId2" Type="http://schemas.openxmlformats.org/officeDocument/2006/relationships/footer" Target="footer.xml"/><Relationship Id="rId3" Type="http://schemas.openxmlformats.org/officeDocument/2006/relationships/image" Target="media/logo-cover.png"/></Relationships>
</file>

<file path=word/_rels/header.xml.rels><?xml version="1.0" encoding="UTF-8" standalone="yes"?><Relationships xmlns="http://schemas.openxmlformats.org/package/2006/relationships"><Relationship Id="rId1" Type="http://schemas.openxmlformats.org/officeDocument/2006/relationships/image" Target="media/logo-header.png"/></Relationships>
</file>