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color w:val="auto"/>
          <w:sz w:val="36"/>
          <w:szCs w:val="36"/>
          <w:shd w:val="clear" w:color="auto" w:fill="auto"/>
        </w:rPr>
      </w:pPr>
      <w:r>
        <w:rPr>
          <w:b w:val="0"/>
          <w:bCs w:val="0"/>
          <w:color w:val="auto"/>
          <w:sz w:val="36"/>
          <w:szCs w:val="36"/>
          <w:shd w:val="clear" w:color="auto" w:fill="auto"/>
        </w:rPr>
        <w:t>统计分析说明</w:t>
      </w:r>
    </w:p>
    <w:p>
      <w:pPr>
        <w:jc w:val="left"/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b w:val="0"/>
          <w:bCs w:val="0"/>
          <w:color w:val="auto"/>
          <w:sz w:val="28"/>
          <w:szCs w:val="28"/>
          <w:shd w:val="clear" w:color="auto" w:fill="auto"/>
        </w:rPr>
        <w:t xml:space="preserve">  </w:t>
      </w:r>
      <w:r>
        <w:rPr>
          <w:b w:val="0"/>
          <w:bCs w:val="0"/>
          <w:color w:val="auto"/>
          <w:sz w:val="28"/>
          <w:szCs w:val="28"/>
          <w:shd w:val="clear" w:color="auto" w:fill="auto"/>
        </w:rPr>
        <w:t xml:space="preserve">  </w:t>
      </w:r>
      <w:r>
        <w:rPr>
          <w:b w:val="0"/>
          <w:bCs w:val="0"/>
          <w:color w:val="auto"/>
          <w:sz w:val="28"/>
          <w:szCs w:val="28"/>
          <w:shd w:val="clear" w:color="auto" w:fill="auto"/>
        </w:rPr>
        <w:t>通过对A站火车货运数据进行分析，将数据在四个维度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进行货运量统计分析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，分别为：时间、货物类别、运输方式以及货运区域。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一、时间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维度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1 每天货运量分析：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每天货运总量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，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每天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收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货量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，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每天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发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2 每月货运量分析：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每月货运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总量，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每月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收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货量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，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每月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发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3 总货运量分析：总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货运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量，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总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收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货量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，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总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发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二、货物类别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维度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1 每类货物货运量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：A站每类货物收货量以及发货量总和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2 每类货物收货量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：A站每类货物收货量，即每类货物发送至A站的货运量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3 每类货物发货量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：A站每类货物发货量，即每类货物自A站发送的货运量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三、运输方式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维度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1 每种运输方式货运量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：A站货物通过每种运输方式的货运量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2 每种运输方式收货量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：A站货物通过每种运输方式的收货量，即通过每种运输方式发送至A站的货运量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3 每种运输方式发货量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：A站货物通过每种运输方式的发货量，即通过每种运输方式由A站发送的货运量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四、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货运</w:t>
      </w: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区域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维度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1 各区域货运量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：与A站进行货运的各区域的收货量以及发货量总和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2 各区域收货量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：各区域接受自A站发送的货物货运量</w:t>
      </w:r>
    </w:p>
    <w:p>
      <w:pPr>
        <w:jc w:val="left"/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</w:rPr>
        <w:t>3 各区域发货量</w:t>
      </w: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</w:rPr>
        <w:t>：各区域发送至A站的货物货运量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Helvetica Neu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F5DE5"/>
    <w:rsid w:val="1EDF5DE5"/>
    <w:rsid w:val="33DBDA43"/>
    <w:rsid w:val="52DFA2A0"/>
    <w:rsid w:val="DB7A36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2018-09-23T16:49:00Z</dcterms:created>
  <dc:creator>zhangbin</dc:creator>
  <cp:lastModifiedBy>zhangbin</cp:lastModifiedBy>
  <dcterms:modified xsi:type="dcterms:W3CDTF">2018-09-22T17:14:12Z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