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/>
          <w:color w:val="1A3C6E"/>
        </w:rPr>
        <w:t>Abacus Surgical — 高管股权、反向归属及薪酬条款清单</w:t>
      </w:r>
    </w:p>
    <w:p>
      <w:r>
        <w:rPr>
          <w:rFonts w:ascii="微软雅黑" w:hAnsi="微软雅黑"/>
          <w:b/>
          <w:sz w:val="22"/>
        </w:rPr>
        <w:t>高管</w:t>
      </w:r>
      <w:r>
        <w:rPr>
          <w:rFonts w:ascii="微软雅黑" w:hAnsi="微软雅黑"/>
          <w:sz w:val="22"/>
        </w:rPr>
        <w:t>：Jeremy Woods, MD 与 Fanqing Chen, PhD</w:t>
      </w:r>
    </w:p>
    <w:p>
      <w:pPr>
        <w:pStyle w:val="Heading1"/>
      </w:pPr>
      <w:r>
        <w:rPr>
          <w:rFonts w:ascii="微软雅黑" w:hAnsi="微软雅黑"/>
          <w:color w:val="2E5090"/>
        </w:rPr>
        <w:t>1. 股权授予</w:t>
      </w:r>
    </w:p>
    <w:p>
      <w:r>
        <w:rPr>
          <w:rFonts w:ascii="微软雅黑" w:hAnsi="微软雅黑"/>
          <w:sz w:val="22"/>
        </w:rPr>
        <w:t>公司成立时，每位高管将获授公司完全稀释后股权的10%，一次性发行，受反向归属约束。股份受未来融资、期权池及常规公司行为的标准稀释影响。</w:t>
      </w:r>
    </w:p>
    <w:p>
      <w:pPr>
        <w:pStyle w:val="Heading1"/>
      </w:pPr>
      <w:r>
        <w:rPr>
          <w:rFonts w:ascii="微软雅黑" w:hAnsi="微软雅黑"/>
          <w:color w:val="2E5090"/>
        </w:rPr>
        <w:t>2. 反向归属结构（总计24个月）</w:t>
      </w:r>
    </w:p>
    <w:p>
      <w:pPr>
        <w:pStyle w:val="Heading2"/>
      </w:pPr>
      <w:r>
        <w:rPr>
          <w:rFonts w:ascii="微软雅黑" w:hAnsi="微软雅黑"/>
          <w:color w:val="2E5090"/>
        </w:rPr>
        <w:t>A. 基于时间的反向归属（24%中的2.4%）</w:t>
      </w:r>
    </w:p>
    <w:p>
      <w:pPr>
        <w:pStyle w:val="ListBullet"/>
      </w:pPr>
      <w:r>
        <w:rPr>
          <w:rFonts w:ascii="微软雅黑" w:hAnsi="微软雅黑"/>
        </w:rPr>
        <w:t>归属期：24个月</w:t>
      </w:r>
    </w:p>
    <w:p>
      <w:pPr>
        <w:pStyle w:val="ListBullet"/>
      </w:pPr>
      <w:r>
        <w:rPr>
          <w:rFonts w:ascii="微软雅黑" w:hAnsi="微软雅黑"/>
        </w:rPr>
        <w:t>无悬崖期（Cliff）</w:t>
      </w:r>
    </w:p>
    <w:p>
      <w:pPr>
        <w:pStyle w:val="ListBullet"/>
      </w:pPr>
      <w:r>
        <w:rPr>
          <w:rFonts w:ascii="微软雅黑" w:hAnsi="微软雅黑"/>
        </w:rPr>
        <w:t>每月归属1%（共24个月）</w:t>
      </w:r>
    </w:p>
    <w:p>
      <w:pPr>
        <w:pStyle w:val="Heading2"/>
      </w:pPr>
      <w:r>
        <w:rPr>
          <w:rFonts w:ascii="微软雅黑" w:hAnsi="微软雅黑"/>
          <w:color w:val="2E5090"/>
        </w:rPr>
        <w:t>B. 基于战略里程碑的反向归属（24%中的7.6%）</w:t>
      </w:r>
    </w:p>
    <w:p>
      <w:pPr>
        <w:pStyle w:val="ListBullet"/>
      </w:pPr>
      <w:r>
        <w:rPr>
          <w:rFonts w:ascii="微软雅黑" w:hAnsi="微软雅黑"/>
        </w:rPr>
        <w:t>管理方式：客观、善意判定</w:t>
      </w:r>
    </w:p>
    <w:p>
      <w:pPr>
        <w:pStyle w:val="ListBullet"/>
      </w:pPr>
      <w:r>
        <w:rPr>
          <w:rFonts w:ascii="微软雅黑" w:hAnsi="微软雅黑"/>
        </w:rPr>
        <w:t>部分完成可按比例归属</w:t>
      </w:r>
    </w:p>
    <w:p>
      <w:pPr>
        <w:pStyle w:val="ListBullet"/>
      </w:pPr>
      <w:r>
        <w:rPr>
          <w:rFonts w:ascii="微软雅黑" w:hAnsi="微软雅黑"/>
        </w:rPr>
        <w:t>未经同意不得进行不利修改</w:t>
      </w:r>
    </w:p>
    <w:p>
      <w:pPr>
        <w:pStyle w:val="Heading1"/>
      </w:pPr>
      <w:r>
        <w:rPr>
          <w:rFonts w:ascii="微软雅黑" w:hAnsi="微软雅黑"/>
          <w:color w:val="2E5090"/>
        </w:rPr>
        <w:t>3. 归属加速</w:t>
      </w:r>
    </w:p>
    <w:p>
      <w:pPr>
        <w:pStyle w:val="Heading2"/>
      </w:pPr>
      <w:r>
        <w:rPr>
          <w:rFonts w:ascii="微软雅黑" w:hAnsi="微软雅黑"/>
          <w:color w:val="2E5090"/>
        </w:rPr>
        <w:t>A. 控制权变更</w:t>
      </w:r>
    </w:p>
    <w:p>
      <w:r>
        <w:rPr>
          <w:rFonts w:ascii="微软雅黑" w:hAnsi="微软雅黑"/>
          <w:sz w:val="22"/>
        </w:rPr>
        <w:t>单次触发（Single Trigger）：100%归属</w:t>
      </w:r>
    </w:p>
    <w:p>
      <w:pPr>
        <w:pStyle w:val="Heading2"/>
      </w:pPr>
      <w:r>
        <w:rPr>
          <w:rFonts w:ascii="微软雅黑" w:hAnsi="微软雅黑"/>
          <w:color w:val="2E5090"/>
        </w:rPr>
        <w:t>B. 提前退出（≤24个月）</w:t>
      </w:r>
    </w:p>
    <w:p>
      <w:r>
        <w:rPr>
          <w:rFonts w:ascii="微软雅黑" w:hAnsi="微软雅黑"/>
          <w:sz w:val="22"/>
        </w:rPr>
        <w:t>基于时间的股权100%归属</w:t>
      </w:r>
    </w:p>
    <w:p>
      <w:r>
        <w:rPr>
          <w:rFonts w:ascii="微软雅黑" w:hAnsi="微软雅黑"/>
          <w:sz w:val="22"/>
        </w:rPr>
        <w:t>基于里程碑的股权归属见第4条</w:t>
      </w:r>
    </w:p>
    <w:p>
      <w:pPr>
        <w:pStyle w:val="Heading1"/>
      </w:pPr>
      <w:r>
        <w:rPr>
          <w:rFonts w:ascii="微软雅黑" w:hAnsi="微软雅黑"/>
          <w:color w:val="2E5090"/>
        </w:rPr>
        <w:t>4. 退出估值对齐（仅适用于≤24个月内）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里程碑</w:t>
            </w:r>
          </w:p>
        </w:tc>
        <w:tc>
          <w:tcPr>
            <w:tcW w:type="dxa" w:w="4320"/>
          </w:tcPr>
          <w:p>
            <w:r>
              <w:t>时间节点</w:t>
            </w:r>
          </w:p>
        </w:tc>
      </w:tr>
      <w:tr>
        <w:tc>
          <w:tcPr>
            <w:tcW w:type="dxa" w:w="4320"/>
          </w:tcPr>
          <w:p>
            <w:r>
              <w:t>美国知识产权迁移完成</w:t>
            </w:r>
          </w:p>
        </w:tc>
        <w:tc>
          <w:tcPr>
            <w:tcW w:type="dxa" w:w="4320"/>
          </w:tcPr>
          <w:p>
            <w:r>
              <w:t>第3个月</w:t>
            </w:r>
          </w:p>
        </w:tc>
      </w:tr>
      <w:tr>
        <w:tc>
          <w:tcPr>
            <w:tcW w:type="dxa" w:w="4320"/>
          </w:tcPr>
          <w:p>
            <w:r>
              <w:t>美国RoboC组装 + 510(k)提交</w:t>
            </w:r>
          </w:p>
        </w:tc>
        <w:tc>
          <w:tcPr>
            <w:tcW w:type="dxa" w:w="4320"/>
          </w:tcPr>
          <w:p>
            <w:r>
              <w:t>第6个月</w:t>
            </w:r>
          </w:p>
        </w:tc>
      </w:tr>
      <w:tr>
        <w:tc>
          <w:tcPr>
            <w:tcW w:type="dxa" w:w="4320"/>
          </w:tcPr>
          <w:p>
            <w:r>
              <w:t>美国设施运营 + 设备本土化</w:t>
            </w:r>
          </w:p>
        </w:tc>
        <w:tc>
          <w:tcPr>
            <w:tcW w:type="dxa" w:w="4320"/>
          </w:tcPr>
          <w:p>
            <w:r>
              <w:t>第9-12个月</w:t>
            </w:r>
          </w:p>
        </w:tc>
      </w:tr>
    </w:tbl>
    <w:p>
      <w:r>
        <w:rPr>
          <w:rFonts w:ascii="微软雅黑" w:hAnsi="微软雅黑"/>
          <w:sz w:val="22"/>
        </w:rPr>
        <w:t>注：原文此节表格内容不完整，以下为基础里程碑归属信息：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里程碑</w:t>
            </w:r>
          </w:p>
        </w:tc>
        <w:tc>
          <w:tcPr>
            <w:tcW w:type="dxa" w:w="2880"/>
          </w:tcPr>
          <w:p>
            <w:r>
              <w:t>时间节点</w:t>
            </w:r>
          </w:p>
        </w:tc>
        <w:tc>
          <w:tcPr>
            <w:tcW w:type="dxa" w:w="2880"/>
          </w:tcPr>
          <w:p>
            <w:r>
              <w:t>对应股权</w:t>
            </w:r>
          </w:p>
        </w:tc>
      </w:tr>
      <w:tr>
        <w:tc>
          <w:tcPr>
            <w:tcW w:type="dxa" w:w="2880"/>
          </w:tcPr>
          <w:p>
            <w:r>
              <w:t>美国知识产权迁移完成</w:t>
            </w:r>
          </w:p>
        </w:tc>
        <w:tc>
          <w:tcPr>
            <w:tcW w:type="dxa" w:w="2880"/>
          </w:tcPr>
          <w:p>
            <w:r>
              <w:t>第3个月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美国RoboC组装 + 510(k)提交</w:t>
            </w:r>
          </w:p>
        </w:tc>
        <w:tc>
          <w:tcPr>
            <w:tcW w:type="dxa" w:w="2880"/>
          </w:tcPr>
          <w:p>
            <w:r>
              <w:t>第6个月</w:t>
            </w:r>
          </w:p>
        </w:tc>
        <w:tc>
          <w:tcPr>
            <w:tcW w:type="dxa" w:w="2880"/>
          </w:tcPr>
          <w:p>
            <w:r>
              <w:t>3%</w:t>
            </w:r>
          </w:p>
        </w:tc>
      </w:tr>
      <w:tr>
        <w:tc>
          <w:tcPr>
            <w:tcW w:type="dxa" w:w="2880"/>
          </w:tcPr>
          <w:p>
            <w:r>
              <w:t>美国设施运营 + 设备本土化</w:t>
            </w:r>
          </w:p>
        </w:tc>
        <w:tc>
          <w:tcPr>
            <w:tcW w:type="dxa" w:w="2880"/>
          </w:tcPr>
          <w:p>
            <w:r>
              <w:t>第9-12个月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FDA获批</w:t>
            </w:r>
          </w:p>
        </w:tc>
        <w:tc>
          <w:tcPr>
            <w:tcW w:type="dxa" w:w="2880"/>
          </w:tcPr>
          <w:p>
            <w:r>
              <w:t>第9-12个月</w:t>
            </w:r>
          </w:p>
        </w:tc>
        <w:tc>
          <w:tcPr>
            <w:tcW w:type="dxa" w:w="2880"/>
          </w:tcPr>
          <w:p>
            <w:r>
              <w:t>4%</w:t>
            </w:r>
          </w:p>
        </w:tc>
      </w:tr>
    </w:tbl>
    <w:p>
      <w:pPr>
        <w:pStyle w:val="Heading2"/>
      </w:pPr>
      <w:r>
        <w:rPr>
          <w:rFonts w:ascii="微软雅黑" w:hAnsi="微软雅黑"/>
          <w:color w:val="2E5090"/>
        </w:rPr>
        <w:t>退出估值对应的里程碑股权保留比例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退出估值</w:t>
            </w:r>
          </w:p>
        </w:tc>
        <w:tc>
          <w:tcPr>
            <w:tcW w:type="dxa" w:w="4320"/>
          </w:tcPr>
          <w:p>
            <w:r>
              <w:t>保留的里程碑股权比例</w:t>
            </w:r>
          </w:p>
        </w:tc>
      </w:tr>
      <w:tr>
        <w:tc>
          <w:tcPr>
            <w:tcW w:type="dxa" w:w="4320"/>
          </w:tcPr>
          <w:p>
            <w:r>
              <w:t>&lt; 1亿美元（不含美国投资者）</w:t>
            </w:r>
          </w:p>
        </w:tc>
        <w:tc>
          <w:tcPr>
            <w:tcW w:type="dxa" w:w="4320"/>
          </w:tcPr>
          <w:p>
            <w:r>
              <w:t>70%</w:t>
            </w:r>
          </w:p>
        </w:tc>
      </w:tr>
      <w:tr>
        <w:tc>
          <w:tcPr>
            <w:tcW w:type="dxa" w:w="4320"/>
          </w:tcPr>
          <w:p>
            <w:r>
              <w:t>≥ 1亿美元（不含美国投资者）</w:t>
            </w:r>
          </w:p>
        </w:tc>
        <w:tc>
          <w:tcPr>
            <w:tcW w:type="dxa" w:w="4320"/>
          </w:tcPr>
          <w:p>
            <w:r>
              <w:t>100%</w:t>
            </w:r>
          </w:p>
        </w:tc>
      </w:tr>
    </w:tbl>
    <w:p>
      <w:pPr>
        <w:pStyle w:val="Heading1"/>
      </w:pPr>
      <w:r>
        <w:rPr>
          <w:rFonts w:ascii="微软雅黑" w:hAnsi="微软雅黑"/>
          <w:color w:val="2E5090"/>
        </w:rPr>
        <w:t>5. 24个月后股权处理（无退出场景）</w:t>
      </w:r>
    </w:p>
    <w:p>
      <w:pPr>
        <w:pStyle w:val="Heading2"/>
      </w:pPr>
      <w:r>
        <w:rPr>
          <w:rFonts w:ascii="微软雅黑" w:hAnsi="微软雅黑"/>
          <w:color w:val="2E5090"/>
        </w:rPr>
        <w:t>A. 取消估值惩罚</w:t>
      </w:r>
    </w:p>
    <w:p>
      <w:r>
        <w:rPr>
          <w:rFonts w:ascii="微软雅黑" w:hAnsi="微软雅黑"/>
          <w:sz w:val="22"/>
        </w:rPr>
        <w:t>若24个月内未发生流动性事件：</w:t>
      </w:r>
    </w:p>
    <w:p>
      <w:pPr>
        <w:pStyle w:val="ListBullet"/>
      </w:pPr>
      <w:r>
        <w:rPr>
          <w:rFonts w:ascii="微软雅黑" w:hAnsi="微软雅黑"/>
        </w:rPr>
        <w:t>所有基于估值的回购权终止</w:t>
      </w:r>
    </w:p>
    <w:p>
      <w:pPr>
        <w:pStyle w:val="ListBullet"/>
      </w:pPr>
      <w:r>
        <w:rPr>
          <w:rFonts w:ascii="微软雅黑" w:hAnsi="微软雅黑"/>
        </w:rPr>
        <w:t>高管保留100%已归属股权</w:t>
      </w:r>
    </w:p>
    <w:p>
      <w:pPr>
        <w:pStyle w:val="Heading2"/>
      </w:pPr>
      <w:r>
        <w:rPr>
          <w:rFonts w:ascii="微软雅黑" w:hAnsi="微软雅黑"/>
          <w:color w:val="2E5090"/>
        </w:rPr>
        <w:t>B. 归属完成</w:t>
      </w:r>
    </w:p>
    <w:p>
      <w:r>
        <w:rPr>
          <w:rFonts w:ascii="微软雅黑" w:hAnsi="微软雅黑"/>
          <w:sz w:val="22"/>
        </w:rPr>
        <w:t>所有基于时间的归属在第24个月全部完成</w:t>
      </w:r>
    </w:p>
    <w:p>
      <w:r>
        <w:rPr>
          <w:rFonts w:ascii="微软雅黑" w:hAnsi="微软雅黑"/>
          <w:sz w:val="22"/>
        </w:rPr>
        <w:t>任何未获得的里程碑股权如在24个月后达成里程碑，仍可获得归属</w:t>
      </w:r>
    </w:p>
    <w:p>
      <w:pPr>
        <w:pStyle w:val="Heading2"/>
      </w:pPr>
      <w:r>
        <w:rPr>
          <w:rFonts w:ascii="微软雅黑" w:hAnsi="微软雅黑"/>
          <w:color w:val="2E5090"/>
        </w:rPr>
        <w:t>C. 自动股权刷新</w:t>
      </w:r>
    </w:p>
    <w:p>
      <w:r>
        <w:rPr>
          <w:rFonts w:ascii="微软雅黑" w:hAnsi="微软雅黑"/>
          <w:sz w:val="22"/>
        </w:rPr>
        <w:t>若第24个月时仍未退出：</w:t>
      </w:r>
    </w:p>
    <w:p>
      <w:pPr>
        <w:pStyle w:val="ListBullet"/>
      </w:pPr>
      <w:r>
        <w:rPr>
          <w:rFonts w:ascii="微软雅黑" w:hAnsi="微软雅黑"/>
        </w:rPr>
        <w:t>高管将获得以下之一（双方协商同意，但不得无理拒绝）：</w:t>
      </w:r>
    </w:p>
    <w:p>
      <w:pPr>
        <w:pStyle w:val="ListBullet"/>
      </w:pPr>
      <w:r>
        <w:rPr>
          <w:rFonts w:ascii="微软雅黑" w:hAnsi="微软雅黑"/>
        </w:rPr>
        <w:t>额外2-4%股权授予（由董事会决定）</w:t>
      </w:r>
    </w:p>
    <w:p>
      <w:pPr>
        <w:pStyle w:val="ListBullet"/>
      </w:pPr>
      <w:r>
        <w:rPr>
          <w:rFonts w:ascii="微软雅黑" w:hAnsi="微软雅黑"/>
        </w:rPr>
        <w:t>适用新的36个月归属计划</w:t>
      </w:r>
    </w:p>
    <w:p>
      <w:pPr>
        <w:pStyle w:val="Heading2"/>
      </w:pPr>
      <w:r>
        <w:rPr>
          <w:rFonts w:ascii="微软雅黑" w:hAnsi="微软雅黑"/>
          <w:color w:val="2E5090"/>
        </w:rPr>
        <w:t>D. 战略转型条款</w:t>
      </w:r>
    </w:p>
    <w:p>
      <w:r>
        <w:rPr>
          <w:rFonts w:ascii="微软雅黑" w:hAnsi="微软雅黑"/>
          <w:sz w:val="22"/>
        </w:rPr>
        <w:t>第24个月到达且未退出时：</w:t>
      </w:r>
    </w:p>
    <w:p>
      <w:pPr>
        <w:pStyle w:val="ListBullet"/>
      </w:pPr>
      <w:r>
        <w:rPr>
          <w:rFonts w:ascii="微软雅黑" w:hAnsi="微软雅黑"/>
        </w:rPr>
        <w:t>公司正式转入规模化阶段</w:t>
      </w:r>
    </w:p>
    <w:p>
      <w:r>
        <w:rPr>
          <w:rFonts w:ascii="微软雅黑" w:hAnsi="微软雅黑"/>
          <w:sz w:val="22"/>
        </w:rPr>
        <w:t>高管角色将：</w:t>
      </w:r>
    </w:p>
    <w:p>
      <w:pPr>
        <w:pStyle w:val="ListBullet"/>
      </w:pPr>
      <w:r>
        <w:rPr>
          <w:rFonts w:ascii="微软雅黑" w:hAnsi="微软雅黑"/>
        </w:rPr>
        <w:t>维持CEO职位，或</w:t>
      </w:r>
    </w:p>
    <w:p>
      <w:pPr>
        <w:pStyle w:val="ListBullet"/>
      </w:pPr>
      <w:r>
        <w:rPr>
          <w:rFonts w:ascii="微软雅黑" w:hAnsi="微软雅黑"/>
        </w:rPr>
        <w:t>仅在征得同意的情况下转为执行董事长/首席战略官</w:t>
      </w:r>
    </w:p>
    <w:p>
      <w:r>
        <w:rPr>
          <w:rFonts w:ascii="微软雅黑" w:hAnsi="微软雅黑"/>
          <w:sz w:val="22"/>
        </w:rPr>
        <w:t>如角色变更：</w:t>
      </w:r>
    </w:p>
    <w:p>
      <w:pPr>
        <w:pStyle w:val="ListBullet"/>
      </w:pPr>
      <w:r>
        <w:rPr>
          <w:rFonts w:ascii="微软雅黑" w:hAnsi="微软雅黑"/>
        </w:rPr>
        <w:t>金色降落伞保护生效</w:t>
      </w:r>
    </w:p>
    <w:p>
      <w:pPr>
        <w:pStyle w:val="Heading1"/>
      </w:pPr>
      <w:r>
        <w:rPr>
          <w:rFonts w:ascii="微软雅黑" w:hAnsi="微软雅黑"/>
          <w:color w:val="2E5090"/>
        </w:rPr>
        <w:t>6. 薪酬</w:t>
      </w:r>
    </w:p>
    <w:p>
      <w:pPr>
        <w:pStyle w:val="Heading2"/>
      </w:pPr>
      <w:r>
        <w:rPr>
          <w:rFonts w:ascii="微软雅黑" w:hAnsi="微软雅黑"/>
          <w:color w:val="2E5090"/>
        </w:rPr>
        <w:t>A. 基本薪资</w:t>
      </w:r>
    </w:p>
    <w:p>
      <w:pPr>
        <w:pStyle w:val="ListBullet"/>
      </w:pPr>
      <w:r>
        <w:rPr>
          <w:rFonts w:ascii="微软雅黑" w:hAnsi="微软雅黑"/>
        </w:rPr>
        <w:t>融资 ≥ 250万美元：20万美元/年</w:t>
      </w:r>
    </w:p>
    <w:p>
      <w:pPr>
        <w:pStyle w:val="ListBullet"/>
      </w:pPr>
      <w:r>
        <w:rPr>
          <w:rFonts w:ascii="微软雅黑" w:hAnsi="微软雅黑"/>
        </w:rPr>
        <w:t>融资 ≥ 500万美元：30万美元/年</w:t>
      </w:r>
    </w:p>
    <w:p>
      <w:pPr>
        <w:pStyle w:val="ListBullet"/>
      </w:pPr>
      <w:r>
        <w:rPr>
          <w:rFonts w:ascii="微软雅黑" w:hAnsi="微软雅黑"/>
        </w:rPr>
        <w:t>融资 ≥ 1000万美元：40万美元/年</w:t>
      </w:r>
    </w:p>
    <w:p>
      <w:pPr>
        <w:pStyle w:val="ListBullet"/>
      </w:pPr>
      <w:r>
        <w:rPr>
          <w:rFonts w:ascii="微软雅黑" w:hAnsi="微软雅黑"/>
        </w:rPr>
        <w:t>融资 ≥ 2000万美元：50万美元/年</w:t>
      </w:r>
    </w:p>
    <w:p>
      <w:pPr>
        <w:pStyle w:val="Heading2"/>
      </w:pPr>
      <w:r>
        <w:rPr>
          <w:rFonts w:ascii="微软雅黑" w:hAnsi="微软雅黑"/>
          <w:color w:val="2E5090"/>
        </w:rPr>
        <w:t>B. 融资前津贴（追溯）</w:t>
      </w:r>
    </w:p>
    <w:p>
      <w:pPr>
        <w:pStyle w:val="ListBullet"/>
      </w:pPr>
      <w:r>
        <w:rPr>
          <w:rFonts w:ascii="微软雅黑" w:hAnsi="微软雅黑"/>
        </w:rPr>
        <w:t>每月1.5万美元累积</w:t>
      </w:r>
    </w:p>
    <w:p>
      <w:pPr>
        <w:pStyle w:val="ListBullet"/>
      </w:pPr>
      <w:r>
        <w:rPr>
          <w:rFonts w:ascii="微软雅黑" w:hAnsi="微软雅黑"/>
        </w:rPr>
        <w:t>融资 ≥ 250万美元时全额支付</w:t>
      </w:r>
    </w:p>
    <w:p>
      <w:pPr>
        <w:pStyle w:val="ListBullet"/>
      </w:pPr>
      <w:r>
        <w:rPr>
          <w:rFonts w:ascii="微软雅黑" w:hAnsi="微软雅黑"/>
        </w:rPr>
        <w:t>若融资未达成则不欠付</w:t>
      </w:r>
    </w:p>
    <w:p>
      <w:pPr>
        <w:pStyle w:val="Heading1"/>
      </w:pPr>
      <w:r>
        <w:rPr>
          <w:rFonts w:ascii="微软雅黑" w:hAnsi="微软雅黑"/>
          <w:color w:val="2E5090"/>
        </w:rPr>
        <w:t>7. 金色降落伞</w:t>
      </w:r>
    </w:p>
    <w:p>
      <w:pPr>
        <w:pStyle w:val="Heading2"/>
      </w:pPr>
      <w:r>
        <w:rPr>
          <w:rFonts w:ascii="微软雅黑" w:hAnsi="微软雅黑"/>
          <w:color w:val="2E5090"/>
        </w:rPr>
        <w:t>A. 触发条件</w:t>
      </w:r>
    </w:p>
    <w:p>
      <w:pPr>
        <w:pStyle w:val="ListBullet"/>
      </w:pPr>
      <w:r>
        <w:rPr>
          <w:rFonts w:ascii="微软雅黑" w:hAnsi="微软雅黑"/>
        </w:rPr>
        <w:t>无故解雇</w:t>
      </w:r>
    </w:p>
    <w:p>
      <w:pPr>
        <w:pStyle w:val="ListBullet"/>
      </w:pPr>
      <w:r>
        <w:rPr>
          <w:rFonts w:ascii="微软雅黑" w:hAnsi="微软雅黑"/>
        </w:rPr>
        <w:t>CEO更换</w:t>
      </w:r>
    </w:p>
    <w:p>
      <w:pPr>
        <w:pStyle w:val="ListBullet"/>
      </w:pPr>
      <w:r>
        <w:rPr>
          <w:rFonts w:ascii="微软雅黑" w:hAnsi="微软雅黑"/>
        </w:rPr>
        <w:t>变相解雇（Constructive Dismissal）</w:t>
      </w:r>
    </w:p>
    <w:p>
      <w:pPr>
        <w:pStyle w:val="ListBullet"/>
      </w:pPr>
      <w:r>
        <w:rPr>
          <w:rFonts w:ascii="微软雅黑" w:hAnsi="微软雅黑"/>
        </w:rPr>
        <w:t>战略转型/未获 funding</w:t>
      </w:r>
    </w:p>
    <w:p>
      <w:pPr>
        <w:pStyle w:val="Heading2"/>
      </w:pPr>
      <w:r>
        <w:rPr>
          <w:rFonts w:ascii="微软雅黑" w:hAnsi="微软雅黑"/>
          <w:color w:val="2E5090"/>
        </w:rPr>
        <w:t>B. 现金补偿</w:t>
      </w:r>
    </w:p>
    <w:p>
      <w:pPr>
        <w:pStyle w:val="ListBullet"/>
      </w:pPr>
      <w:r>
        <w:rPr>
          <w:rFonts w:ascii="微软雅黑" w:hAnsi="微软雅黑"/>
        </w:rPr>
        <w:t>12个月薪资</w:t>
      </w:r>
    </w:p>
    <w:p>
      <w:pPr>
        <w:pStyle w:val="ListBullet"/>
      </w:pPr>
      <w:r>
        <w:rPr>
          <w:rFonts w:ascii="微软雅黑" w:hAnsi="微软雅黑"/>
        </w:rPr>
        <w:t>12个月福利</w:t>
      </w:r>
    </w:p>
    <w:p>
      <w:pPr>
        <w:pStyle w:val="Heading2"/>
      </w:pPr>
      <w:r>
        <w:rPr>
          <w:rFonts w:ascii="微软雅黑" w:hAnsi="微软雅黑"/>
          <w:color w:val="2E5090"/>
        </w:rPr>
        <w:t>C. 股权</w:t>
      </w:r>
    </w:p>
    <w:p>
      <w:pPr>
        <w:pStyle w:val="ListBullet"/>
      </w:pPr>
      <w:r>
        <w:rPr>
          <w:rFonts w:ascii="微软雅黑" w:hAnsi="微软雅黑"/>
        </w:rPr>
        <w:t>100%里程碑股权归属</w:t>
      </w:r>
    </w:p>
    <w:p>
      <w:pPr>
        <w:pStyle w:val="ListBullet"/>
      </w:pPr>
      <w:r>
        <w:rPr>
          <w:rFonts w:ascii="微软雅黑" w:hAnsi="微软雅黑"/>
        </w:rPr>
        <w:t>保证至少50%总股权归属</w:t>
      </w:r>
    </w:p>
    <w:p>
      <w:pPr>
        <w:pStyle w:val="Heading2"/>
      </w:pPr>
      <w:r>
        <w:rPr>
          <w:rFonts w:ascii="微软雅黑" w:hAnsi="微软雅黑"/>
          <w:color w:val="2E5090"/>
        </w:rPr>
        <w:t>D. 退出前保护</w:t>
      </w:r>
    </w:p>
    <w:p>
      <w:r>
        <w:rPr>
          <w:rFonts w:ascii="微软雅黑" w:hAnsi="微软雅黑"/>
          <w:sz w:val="22"/>
        </w:rPr>
        <w:t>如在退出前≤12个月内被解雇：</w:t>
      </w:r>
    </w:p>
    <w:p>
      <w:pPr>
        <w:pStyle w:val="ListBullet"/>
      </w:pPr>
      <w:r>
        <w:rPr>
          <w:rFonts w:ascii="微软雅黑" w:hAnsi="微软雅黑"/>
        </w:rPr>
        <w:t>视为在职员工</w:t>
      </w:r>
    </w:p>
    <w:p>
      <w:pPr>
        <w:pStyle w:val="ListBullet"/>
      </w:pPr>
      <w:r>
        <w:rPr>
          <w:rFonts w:ascii="微软雅黑" w:hAnsi="微软雅黑"/>
        </w:rPr>
        <w:t>退出时全额归属</w:t>
      </w:r>
    </w:p>
    <w:p>
      <w:pPr>
        <w:pStyle w:val="Heading2"/>
      </w:pPr>
      <w:r>
        <w:rPr>
          <w:rFonts w:ascii="微软雅黑" w:hAnsi="微软雅黑"/>
          <w:color w:val="2E5090"/>
        </w:rPr>
        <w:t>E. 最低保障</w:t>
      </w:r>
    </w:p>
    <w:p>
      <w:r>
        <w:rPr>
          <w:rFonts w:ascii="微软雅黑" w:hAnsi="微软雅黑"/>
          <w:sz w:val="22"/>
        </w:rPr>
        <w:t>在所有非"坏离职者"场景下，至少保留5%股权</w:t>
      </w:r>
    </w:p>
    <w:p>
      <w:pPr>
        <w:pStyle w:val="Heading1"/>
      </w:pPr>
      <w:r>
        <w:rPr>
          <w:rFonts w:ascii="微软雅黑" w:hAnsi="微软雅黑"/>
          <w:color w:val="2E5090"/>
        </w:rPr>
        <w:t>8. 好/坏离职者</w:t>
      </w:r>
    </w:p>
    <w:p>
      <w:pPr>
        <w:pStyle w:val="Heading3"/>
      </w:pPr>
      <w:r>
        <w:rPr>
          <w:rFonts w:ascii="微软雅黑" w:hAnsi="微软雅黑"/>
          <w:color w:val="2E5090"/>
        </w:rPr>
        <w:t>好离职者（Good Leaver）：</w:t>
      </w:r>
    </w:p>
    <w:p>
      <w:pPr>
        <w:pStyle w:val="ListBullet"/>
      </w:pPr>
      <w:r>
        <w:rPr>
          <w:rFonts w:ascii="微软雅黑" w:hAnsi="微软雅黑"/>
        </w:rPr>
        <w:t>无故解雇</w:t>
      </w:r>
    </w:p>
    <w:p>
      <w:pPr>
        <w:pStyle w:val="ListBullet"/>
      </w:pPr>
      <w:r>
        <w:rPr>
          <w:rFonts w:ascii="微软雅黑" w:hAnsi="微软雅黑"/>
        </w:rPr>
        <w:t>CEO更换</w:t>
      </w:r>
    </w:p>
    <w:p>
      <w:pPr>
        <w:pStyle w:val="ListBullet"/>
      </w:pPr>
      <w:r>
        <w:rPr>
          <w:rFonts w:ascii="微软雅黑" w:hAnsi="微软雅黑"/>
        </w:rPr>
        <w:t>变相解雇</w:t>
      </w:r>
    </w:p>
    <w:p>
      <w:r>
        <w:rPr>
          <w:rFonts w:ascii="微软雅黑" w:hAnsi="微软雅黑"/>
          <w:sz w:val="22"/>
        </w:rPr>
        <w:t>→ 保留已归属股权 + 保护条款适用</w:t>
      </w:r>
    </w:p>
    <w:p>
      <w:pPr>
        <w:pStyle w:val="Heading3"/>
      </w:pPr>
      <w:r>
        <w:rPr>
          <w:rFonts w:ascii="微软雅黑" w:hAnsi="微软雅黑"/>
          <w:color w:val="2E5090"/>
        </w:rPr>
        <w:t>坏离职者（Bad Leaver）：</w:t>
      </w:r>
    </w:p>
    <w:p>
      <w:pPr>
        <w:pStyle w:val="ListBullet"/>
      </w:pPr>
      <w:r>
        <w:rPr>
          <w:rFonts w:ascii="微软雅黑" w:hAnsi="微软雅黑"/>
        </w:rPr>
        <w:t>欺诈、不当行为</w:t>
      </w:r>
    </w:p>
    <w:p>
      <w:r>
        <w:rPr>
          <w:rFonts w:ascii="微软雅黑" w:hAnsi="微软雅黑"/>
          <w:sz w:val="22"/>
        </w:rPr>
        <w:t>→ 未归属部分作废</w:t>
      </w:r>
    </w:p>
    <w:p>
      <w:pPr>
        <w:pStyle w:val="Heading1"/>
      </w:pPr>
      <w:r>
        <w:rPr>
          <w:rFonts w:ascii="微软雅黑" w:hAnsi="微软雅黑"/>
          <w:color w:val="2E5090"/>
        </w:rPr>
        <w:t>9. 公司治理</w:t>
      </w:r>
    </w:p>
    <w:p>
      <w:r>
        <w:rPr>
          <w:rFonts w:ascii="微软雅黑" w:hAnsi="微软雅黑"/>
          <w:sz w:val="22"/>
        </w:rPr>
        <w:t>未经同意不得进行不利修改</w:t>
      </w:r>
    </w:p>
    <w:p>
      <w:r>
        <w:rPr>
          <w:rFonts w:ascii="微软雅黑" w:hAnsi="微软雅黑"/>
          <w:sz w:val="22"/>
        </w:rPr>
        <w:t>里程碑固定不变</w:t>
      </w:r>
    </w:p>
    <w:p>
      <w:r>
        <w:rPr>
          <w:rFonts w:ascii="微软雅黑" w:hAnsi="微软雅黑"/>
          <w:sz w:val="22"/>
        </w:rPr>
        <w:t>须遵循善意原则</w:t>
      </w:r>
    </w:p>
    <w:p>
      <w:pPr>
        <w:pStyle w:val="Heading1"/>
      </w:pPr>
      <w:r>
        <w:rPr>
          <w:rFonts w:ascii="微软雅黑" w:hAnsi="微软雅黑"/>
          <w:color w:val="2E5090"/>
        </w:rPr>
        <w:t>10. 限制性条款</w:t>
      </w:r>
    </w:p>
    <w:p>
      <w:r>
        <w:rPr>
          <w:rFonts w:ascii="微软雅黑" w:hAnsi="微软雅黑"/>
          <w:sz w:val="22"/>
        </w:rPr>
        <w:t>竞业禁止：最长12个月</w:t>
      </w:r>
    </w:p>
    <w:p>
      <w:r>
        <w:rPr>
          <w:rFonts w:ascii="微软雅黑" w:hAnsi="微软雅黑"/>
          <w:sz w:val="22"/>
        </w:rPr>
        <w:t>范围须狭窄限定</w:t>
      </w:r>
    </w:p>
    <w:p>
      <w:r>
        <w:rPr>
          <w:rFonts w:ascii="微软雅黑" w:hAnsi="微软雅黑"/>
          <w:sz w:val="22"/>
        </w:rPr>
        <w:t>遣散费仍须支付</w:t>
      </w:r>
    </w:p>
    <w:p>
      <w:pPr>
        <w:pStyle w:val="Heading1"/>
      </w:pPr>
      <w:r>
        <w:rPr>
          <w:rFonts w:ascii="微软雅黑" w:hAnsi="微软雅黑"/>
          <w:color w:val="2E5090"/>
        </w:rPr>
        <w:t>11. 一般条款</w:t>
      </w:r>
    </w:p>
    <w:p>
      <w:r>
        <w:rPr>
          <w:rFonts w:ascii="微软雅黑" w:hAnsi="微软雅黑"/>
          <w:sz w:val="22"/>
        </w:rPr>
        <w:t>本条款清单不具约束力；须以最终协议为准。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