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nlyxhsw7u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Abacus Surgical – Executive Equity, Reverse Vesting &amp; Compensation Term Sheet for one Executive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Executive: Jeremy Woods, MD &amp; Fanqing Chen, PhD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rpatz56on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Equity Grant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incorporation, EACH Executive shall be granted </w:t>
      </w:r>
      <w:r w:rsidDel="00000000" w:rsidR="00000000" w:rsidRPr="00000000">
        <w:rPr>
          <w:b w:val="1"/>
          <w:bCs w:val="1"/>
          <w:rtl w:val="0"/>
        </w:rPr>
        <w:t xml:space="preserve">10% of the Company’s fully diluted equity</w:t>
      </w:r>
      <w:r w:rsidDel="00000000" w:rsidR="00000000" w:rsidRPr="00000000">
        <w:rPr>
          <w:rtl w:val="0"/>
        </w:rPr>
        <w:t xml:space="preserve">, issued upfront and subject to </w:t>
      </w:r>
      <w:r w:rsidDel="00000000" w:rsidR="00000000" w:rsidRPr="00000000">
        <w:rPr>
          <w:b w:val="1"/>
          <w:bCs w:val="1"/>
          <w:rtl w:val="0"/>
        </w:rPr>
        <w:t xml:space="preserve">reverse vesting</w:t>
      </w:r>
      <w:r w:rsidDel="00000000" w:rsidR="00000000" w:rsidRPr="00000000">
        <w:rPr>
          <w:rtl w:val="0"/>
        </w:rPr>
        <w:t xml:space="preserve">. Shares are subject to standard dilution from future financings, option pools, and customary corporate actions.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tgrz5ekf8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Reverse Vesting Structure (24 Months Total)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fjwxdgh72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Time-Based Reverse Vesting (24%; 2.4%)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Vesting period: </w:t>
      </w:r>
      <w:r w:rsidDel="00000000" w:rsidR="00000000" w:rsidRPr="00000000">
        <w:rPr>
          <w:b w:val="1"/>
          <w:bCs w:val="1"/>
          <w:rtl w:val="0"/>
        </w:rPr>
        <w:t xml:space="preserve">24 months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No cliff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1% vests monthly (24 months)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02b01ytup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Strategic Milestone Reverse Vesting (76%; 7.6%)</w:t>
      </w:r>
    </w:p>
    <w:tbl>
      <w:tblPr>
        <w:tblStyle w:val="Table1"/>
        <w:tblW w:w="7395.0" w:type="dxa"/>
        <w:jc w:val="left"/>
        <w:tblLayout w:type="fixed"/>
        <w:tblLook w:val="0600"/>
      </w:tblPr>
      <w:tblGrid>
        <w:gridCol w:w="4940"/>
        <w:gridCol w:w="1535"/>
        <w:gridCol w:w="920"/>
        <w:tblGridChange w:id="0">
          <w:tblGrid>
            <w:gridCol w:w="4940"/>
            <w:gridCol w:w="1535"/>
            <w:gridCol w:w="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U.S. IP migration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Month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0.3%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 RoboC assembly + 510(k) submission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Month 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U.S. facility operational + equipment localized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Month 9–12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0.3%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FDA clearance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Month 9–12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Administration: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Objective, good faith determination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 rata vesting for partial completion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adverse modification without consent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74uasxob6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Acceleration of Vesting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wvrclf6x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Change of Control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Single trigger: </w:t>
      </w:r>
      <w:r w:rsidDel="00000000" w:rsidR="00000000" w:rsidRPr="00000000">
        <w:rPr>
          <w:b w:val="1"/>
          <w:bCs w:val="1"/>
          <w:rtl w:val="0"/>
        </w:rPr>
        <w:t xml:space="preserve">100% vests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ye9ph3gwt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 Early Exit (≤24 Months)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100% of time-based equity vests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Vesting of milestone-based equity per #4 below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w91h6fwci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Exit Valuation Alignment (Applies Only ≤24 Months)</w:t>
      </w:r>
    </w:p>
    <w:tbl>
      <w:tblPr>
        <w:tblStyle w:val="Table2"/>
        <w:tblW w:w="3640.0" w:type="dxa"/>
        <w:jc w:val="left"/>
        <w:tblLayout w:type="fixed"/>
        <w:tblLook w:val="0600"/>
      </w:tblPr>
      <w:tblGrid>
        <w:gridCol w:w="1730"/>
        <w:gridCol w:w="1910"/>
        <w:tblGridChange w:id="0">
          <w:tblGrid>
            <w:gridCol w:w="173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Retained  Milestone Equity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&lt; $100M (excluding US-investors)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$100M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(excluding US-investors)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upzc86yr2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Post-24-Month Equity Treatment (No Exit Scenario)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313wb6clg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Removal of Valuation Penalty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liquidity event occurs within </w:t>
      </w:r>
      <w:r w:rsidDel="00000000" w:rsidR="00000000" w:rsidRPr="00000000">
        <w:rPr>
          <w:b w:val="1"/>
          <w:bCs w:val="1"/>
          <w:rtl w:val="0"/>
        </w:rPr>
        <w:t xml:space="preserve">24 months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All valuation-based repurchase rights terminate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Executive retains </w:t>
      </w:r>
      <w:r w:rsidDel="00000000" w:rsidR="00000000" w:rsidRPr="00000000">
        <w:rPr>
          <w:b w:val="1"/>
          <w:bCs w:val="1"/>
          <w:rtl w:val="0"/>
        </w:rPr>
        <w:t xml:space="preserve">100% of vested equity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48b1i3mhq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Vesting Completion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time-based vesting (3%) is fully vested at Month 24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unearned milestone equity remains eligible</w:t>
      </w:r>
      <w:r w:rsidDel="00000000" w:rsidR="00000000" w:rsidRPr="00000000">
        <w:rPr>
          <w:rtl w:val="0"/>
        </w:rPr>
        <w:t xml:space="preserve"> for vesting beyond Month 24 if milestones are later achieved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k02iy10ve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Automatic Equity Refresh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liquidity event occurs by Month 24: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Executive shall receive one of the following (mutually agreed, but not unreasonably withheld):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Additional 2–4% equity grant (determined by board)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Subject to new </w:t>
      </w:r>
      <w:r w:rsidDel="00000000" w:rsidR="00000000" w:rsidRPr="00000000">
        <w:rPr>
          <w:b w:val="1"/>
          <w:bCs w:val="1"/>
          <w:rtl w:val="0"/>
        </w:rPr>
        <w:t xml:space="preserve">36-month vesting schedule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zgelwnive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Strategic Transition Clause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reaching Month 24 without exit: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Company formally transitions to </w:t>
      </w:r>
      <w:r w:rsidDel="00000000" w:rsidR="00000000" w:rsidRPr="00000000">
        <w:rPr>
          <w:b w:val="1"/>
          <w:bCs w:val="1"/>
          <w:rtl w:val="0"/>
        </w:rPr>
        <w:t xml:space="preserve">scale phase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Executive role shall be: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Maintained as CEO, OR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Transitioned to Executive Chairman / Chief Strategy Officer </w:t>
      </w:r>
      <w:r w:rsidDel="00000000" w:rsidR="00000000" w:rsidRPr="00000000">
        <w:rPr>
          <w:b w:val="1"/>
          <w:bCs w:val="1"/>
          <w:rtl w:val="0"/>
        </w:rPr>
        <w:t xml:space="preserve">only with consent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role is changed: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Golden parachute protections apply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8rm9txzi6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Compensation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w57xxolek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Base Salary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≥$2.5M: $200K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≥$5M: $300K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≥$10M: $400K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≥$20M: $500K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ayupxeqf2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Pre-Financing Stipend (Retroactive)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$15K/month accrues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Paid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 full upon ≥$2.5M financing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Not owed if financing not achieved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hbostcxqi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Golden Parachute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dr8x4m4du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Triggers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Termination without cause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CEO replacement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Constructive dismissal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Strategic pivot / failure to fund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jt3bazl6o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Cash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12 months salary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12 months benefits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ja53rd9v6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Equity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100% milestone equity vests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≥50% total equity vesting guaranteed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i2ab54u24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Pre-Exit Protection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terminated ≤12 months before exit:</w:t>
      </w:r>
    </w:p>
    <w:p w:rsidR="00000000" w:rsidDel="00000000" w:rsidP="00000000" w:rsidRDefault="00000000" w:rsidRPr="00000000" w14:paraId="0000007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Treated as active employee</w:t>
      </w:r>
    </w:p>
    <w:p w:rsidR="00000000" w:rsidDel="00000000" w:rsidP="00000000" w:rsidRDefault="00000000" w:rsidRPr="00000000" w14:paraId="00000076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Full vesting at exit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g19mar8ty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Minimum Floor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≥5% equity retained in all non–bad leaver scenarios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yi3u5tnsd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Good / Bad Leaver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3mogcyruf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Termination without cause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CEO replacement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Constructive dismissal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Keep vested + protections apply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wnvqo0clw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Bad: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Fraud, misconduct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Unvested forfeited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8pgnt8ojp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Governance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adverse amendment without consent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Milestones fixed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Good faith required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bsp5661ue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Restrictive Covenants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Non-compete: 12 months max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Narrow scope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Severance still paid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0gyf26rtqd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General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Non-binding; subject to definitive agreements.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