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color w:val="1A3C6E"/>
        </w:rPr>
        <w:t>Abacus Surgical — 24个月商业计划</w:t>
      </w:r>
    </w:p>
    <w:p>
      <w:pPr>
        <w:pStyle w:val="Heading1"/>
      </w:pPr>
      <w:r>
        <w:rPr>
          <w:rFonts w:ascii="微软雅黑" w:hAnsi="微软雅黑"/>
          <w:color w:val="2E5090"/>
        </w:rPr>
        <w:t>一、市场机遇</w:t>
      </w:r>
    </w:p>
    <w:p>
      <w:r>
        <w:rPr>
          <w:rFonts w:ascii="微软雅黑" w:hAnsi="微软雅黑"/>
          <w:b/>
          <w:sz w:val="22"/>
        </w:rPr>
        <w:t>高发疾病与筛查需求</w:t>
      </w:r>
      <w:r>
        <w:rPr>
          <w:rFonts w:ascii="微软雅黑" w:hAnsi="微软雅黑"/>
          <w:sz w:val="22"/>
        </w:rPr>
        <w:t>：肺癌、肝癌和肾癌仍是全球主要致死原因，扩大筛查正在发现越来越多的肺部结节。每年进行数十万次肺部穿刺活检，对安全、准确的诊断工具需求不断增长。</w:t>
      </w:r>
    </w:p>
    <w:p>
      <w:r>
        <w:rPr>
          <w:rFonts w:ascii="微软雅黑" w:hAnsi="微软雅黑"/>
          <w:b/>
          <w:sz w:val="22"/>
        </w:rPr>
        <w:t>传统活检的局限性</w:t>
      </w:r>
      <w:r>
        <w:rPr>
          <w:rFonts w:ascii="微软雅黑" w:hAnsi="微软雅黑"/>
          <w:sz w:val="22"/>
        </w:rPr>
        <w:t>：传统CT引导穿刺活检高度依赖人工操作，且存在显著风险（气胸发生率约15-20%），准确率也不稳定。机器人支气管镜等替代方案无法触及所有结节位置，经皮穿刺解决方案仍存在市场空白。</w:t>
      </w:r>
    </w:p>
    <w:p>
      <w:r>
        <w:rPr>
          <w:rFonts w:ascii="微软雅黑" w:hAnsi="微软雅黑"/>
          <w:b/>
          <w:sz w:val="22"/>
        </w:rPr>
        <w:t>庞大且增长的市场</w:t>
      </w:r>
      <w:r>
        <w:rPr>
          <w:rFonts w:ascii="微软雅黑" w:hAnsi="微软雅黑"/>
          <w:sz w:val="22"/>
        </w:rPr>
        <w:t>：全球肺部活检系统市场预计2025年中将突破30亿美元，年增长率约9-10%。医院正投资于先进的影像引导和机器人系统以提升活检成功率和安全性——这是Abacus可以领先的细分领域。</w:t>
      </w:r>
    </w:p>
    <w:p>
      <w:r>
        <w:rPr>
          <w:rFonts w:ascii="微软雅黑" w:hAnsi="微软雅黑"/>
          <w:b/>
          <w:sz w:val="22"/>
        </w:rPr>
        <w:t>有利趋势</w:t>
      </w:r>
      <w:r>
        <w:rPr>
          <w:rFonts w:ascii="微软雅黑" w:hAnsi="微软雅黑"/>
          <w:sz w:val="22"/>
        </w:rPr>
        <w:t>：微创诊断需求上升和降低手术并发症的压力推动了对新型解决方案的关注。市场迫切需要一套能标准化肺部活检流程、改善各中心治疗效果的系统。</w:t>
      </w:r>
    </w:p>
    <w:p>
      <w:pPr>
        <w:pStyle w:val="Heading1"/>
      </w:pPr>
      <w:r>
        <w:rPr>
          <w:rFonts w:ascii="微软雅黑" w:hAnsi="微软雅黑"/>
          <w:color w:val="2E5090"/>
        </w:rPr>
        <w:t>二、产品概述</w:t>
      </w:r>
    </w:p>
    <w:p>
      <w:r>
        <w:rPr>
          <w:rFonts w:ascii="微软雅黑" w:hAnsi="微软雅黑"/>
          <w:b/>
          <w:sz w:val="22"/>
        </w:rPr>
        <w:t>CT引导机器人穿刺系统</w:t>
      </w:r>
      <w:r>
        <w:rPr>
          <w:rFonts w:ascii="微软雅黑" w:hAnsi="微软雅黑"/>
          <w:sz w:val="22"/>
        </w:rPr>
        <w:t>：Abacus开发了一款紧凑型机器人平台，可在CT引导肺部活检中自动化进针。该系统与现有CT扫描仪集成，以亚毫米级精度靶向肺部病灶。</w:t>
      </w:r>
    </w:p>
    <w:p>
      <w:r>
        <w:rPr>
          <w:rFonts w:ascii="微软雅黑" w:hAnsi="微软雅黑"/>
          <w:b/>
          <w:sz w:val="22"/>
        </w:rPr>
        <w:t>更高的安全性与一致性</w:t>
      </w:r>
      <w:r>
        <w:rPr>
          <w:rFonts w:ascii="微软雅黑" w:hAnsi="微软雅黑"/>
          <w:sz w:val="22"/>
        </w:rPr>
        <w:t>：通过实现免手动、机器人引导的穿刺进针，产品旨在显著减少医生的辐射暴露（减少重复扫描次数），同时降低患者并发症发生率（降低气胸概率）。每次活检操作技术一致，提高诊断准确率。</w:t>
      </w:r>
    </w:p>
    <w:p>
      <w:r>
        <w:rPr>
          <w:rFonts w:ascii="微软雅黑" w:hAnsi="微软雅黑"/>
          <w:b/>
          <w:sz w:val="22"/>
        </w:rPr>
        <w:t>工作流集成</w:t>
      </w:r>
      <w:r>
        <w:rPr>
          <w:rFonts w:ascii="微软雅黑" w:hAnsi="微软雅黑"/>
          <w:sz w:val="22"/>
        </w:rPr>
        <w:t>：机器人安装在CT扫描仪上，根据实时CT图像计算最优进针路径，然后在医生监督下执行穿刺。这种无缝附加工作流意味着对介入放射科的干扰极小，便于快速采用。</w:t>
      </w:r>
    </w:p>
    <w:p>
      <w:r>
        <w:rPr>
          <w:rFonts w:ascii="微软雅黑" w:hAnsi="微软雅黑"/>
          <w:b/>
          <w:sz w:val="22"/>
        </w:rPr>
        <w:t>首批适应症——肺、肾、肝脏活检</w:t>
      </w:r>
      <w:r>
        <w:rPr>
          <w:rFonts w:ascii="微软雅黑" w:hAnsi="微软雅黑"/>
          <w:sz w:val="22"/>
        </w:rPr>
        <w:t>：首个目标用途为CT引导下病灶活检，美国每年进行数万次。Abacus系统专注这些适应症，由医疗专业人员协助操作，而非全自动手术，确保价值主张清晰、监管审批高效。（退出后平台可扩展至其他经皮介入领域，但当前计划保持聚焦。）</w:t>
      </w:r>
    </w:p>
    <w:p>
      <w:r>
        <w:rPr>
          <w:rFonts w:ascii="微软雅黑" w:hAnsi="微软雅黑"/>
          <w:b/>
          <w:sz w:val="22"/>
        </w:rPr>
        <w:t>开发状态</w:t>
      </w:r>
      <w:r>
        <w:rPr>
          <w:rFonts w:ascii="微软雅黑" w:hAnsi="微软雅黑"/>
          <w:sz w:val="22"/>
        </w:rPr>
        <w:t>：系统已在海外（中国获批）通过临床验证，生成的数据证明了可行性和精度。这些既往数据（来自中国临床研究）将用于支持FDA申报，减少在美国进行大规模新试验的需求。</w:t>
      </w:r>
    </w:p>
    <w:p>
      <w:pPr>
        <w:pStyle w:val="Heading1"/>
      </w:pPr>
      <w:r>
        <w:rPr>
          <w:rFonts w:ascii="微软雅黑" w:hAnsi="微软雅黑"/>
          <w:color w:val="2E5090"/>
        </w:rPr>
        <w:t>三、监管路线图</w:t>
      </w:r>
    </w:p>
    <w:p>
      <w:r>
        <w:rPr>
          <w:rFonts w:ascii="微软雅黑" w:hAnsi="微软雅黑"/>
          <w:b/>
          <w:sz w:val="22"/>
        </w:rPr>
        <w:t>监管路径</w:t>
      </w:r>
      <w:r>
        <w:rPr>
          <w:rFonts w:ascii="微软雅黑" w:hAnsi="微软雅黑"/>
          <w:sz w:val="22"/>
        </w:rPr>
        <w:t>：Abacus将通过现有同类Predicate设备申报FDA 510(k)审批。策略是避免任何新型"自主性"声明（以免触发De Novo分类），坚持成熟的适应症（CT引导下的机器人穿刺定位）。</w:t>
      </w:r>
    </w:p>
    <w:p>
      <w:r>
        <w:rPr>
          <w:rFonts w:ascii="微软雅黑" w:hAnsi="微软雅黑"/>
          <w:b/>
          <w:sz w:val="22"/>
        </w:rPr>
        <w:t>利用既有数据</w:t>
      </w:r>
      <w:r>
        <w:rPr>
          <w:rFonts w:ascii="微软雅黑" w:hAnsi="微软雅黑"/>
          <w:sz w:val="22"/>
        </w:rPr>
        <w:t>：经Beanstock Ventures咨询意见，FDA将接受此前收集的国际临床数据作为主要安全性/有效性支持。仅需在美国进行有限的用户验证研究（如有必要）。这种精简方式最大程度缩小了监管差距和审批时间。</w:t>
      </w:r>
    </w:p>
    <w:p>
      <w:pPr>
        <w:pStyle w:val="Heading2"/>
      </w:pPr>
      <w:r>
        <w:rPr>
          <w:rFonts w:ascii="微软雅黑" w:hAnsi="微软雅黑"/>
          <w:color w:val="2E5090"/>
        </w:rPr>
        <w:t>关键步骤与时间表</w:t>
      </w:r>
    </w:p>
    <w:p>
      <w:pPr>
        <w:pStyle w:val="ListBullet"/>
      </w:pPr>
      <w:r>
        <w:rPr>
          <w:rFonts w:ascii="微软雅黑" w:hAnsi="微软雅黑"/>
        </w:rPr>
        <w:t>尽早召开Q-Submission会议，确认测试方案和Predicate策略</w:t>
      </w:r>
    </w:p>
    <w:p>
      <w:pPr>
        <w:pStyle w:val="ListBullet"/>
      </w:pPr>
      <w:r>
        <w:rPr>
          <w:rFonts w:ascii="微软雅黑" w:hAnsi="微软雅黑"/>
        </w:rPr>
        <w:t>并行完成必要的台架测试、软件验证和人因评估</w:t>
      </w:r>
    </w:p>
    <w:p>
      <w:pPr>
        <w:pStyle w:val="ListBullet"/>
      </w:pPr>
      <w:r>
        <w:rPr>
          <w:rFonts w:ascii="微软雅黑" w:hAnsi="微软雅黑"/>
        </w:rPr>
        <w:t>目标在项目第6个月提交510(k)。典型审评周期约3-6个月，因此预计第12个月左右获批（总监管周期12-18个月）</w:t>
      </w:r>
    </w:p>
    <w:p>
      <w:r>
        <w:rPr>
          <w:rFonts w:ascii="微软雅黑" w:hAnsi="微软雅黑"/>
          <w:b/>
          <w:sz w:val="22"/>
        </w:rPr>
        <w:t>FDA审批目标</w:t>
      </w:r>
      <w:r>
        <w:rPr>
          <w:rFonts w:ascii="微软雅黑" w:hAnsi="微软雅黑"/>
          <w:sz w:val="22"/>
        </w:rPr>
        <w:t>：通过与Predicate设备对标、利用既有数据和针对性测试展示可接受的性能（精度、可用性），公司降低了监管风险。中等风险的510(k)路径使成本和时间可控，相比De Novo或PMA路径更具优势。</w:t>
      </w:r>
    </w:p>
    <w:p>
      <w:r>
        <w:rPr>
          <w:rFonts w:ascii="微软雅黑" w:hAnsi="微软雅黑"/>
          <w:b/>
          <w:sz w:val="22"/>
        </w:rPr>
        <w:t>预估监管成本</w:t>
      </w:r>
      <w:r>
        <w:rPr>
          <w:rFonts w:ascii="微软雅黑" w:hAnsi="微软雅黑"/>
          <w:sz w:val="22"/>
        </w:rPr>
        <w:t>：FDA审批的直接成本（测试、文档、申报）预计约150-230万美元。包括必要的设计文件更新、既往数据翻译、第三方测试和FDA用户费用。（质量体系建设和持续合规已计入运营预算。）</w:t>
      </w:r>
    </w:p>
    <w:p>
      <w:pPr>
        <w:pStyle w:val="Heading1"/>
      </w:pPr>
      <w:r>
        <w:rPr>
          <w:rFonts w:ascii="微软雅黑" w:hAnsi="微软雅黑"/>
          <w:color w:val="2E5090"/>
        </w:rPr>
        <w:t>四、24个月市场进入策略</w:t>
      </w:r>
    </w:p>
    <w:p>
      <w:r>
        <w:rPr>
          <w:rFonts w:ascii="微软雅黑" w:hAnsi="微软雅黑"/>
          <w:b/>
          <w:sz w:val="22"/>
        </w:rPr>
        <w:t>第一阶段（第0-6个月）——快速推进监管</w:t>
      </w:r>
      <w:r>
        <w:rPr>
          <w:rFonts w:ascii="微软雅黑" w:hAnsi="微软雅黑"/>
          <w:sz w:val="22"/>
        </w:rPr>
        <w:t>：全力执行所有监管准备工作。完成Predicate设备分析、验证测试和必要的人因研究。召开FDA Q-Sub会议获取反馈。目标：第一阶段末（约第6个月）提交510(k)。预算重点：精简支出（约200万美元）实现申报里程碑。</w:t>
      </w:r>
    </w:p>
    <w:p>
      <w:r>
        <w:rPr>
          <w:rFonts w:ascii="微软雅黑" w:hAnsi="微软雅黑"/>
          <w:b/>
          <w:sz w:val="22"/>
        </w:rPr>
        <w:t>第二阶段（第6-12个月）——FDA获批与Beta站点</w:t>
      </w:r>
      <w:r>
        <w:rPr>
          <w:rFonts w:ascii="微软雅黑" w:hAnsi="微软雅黑"/>
          <w:sz w:val="22"/>
        </w:rPr>
        <w:t>：在FDA审评期间（预计第9-12个月获批），启动有限的产品导入。在美国领先医院（特别是顶级学术医疗中心）建立5-10个Beta安装站点。开始小批量生产，并与早期医生用户完善培训协议。目标：获得FDA批准时，首批美国用户已完成培训并投入使用。</w:t>
      </w:r>
    </w:p>
    <w:p>
      <w:r>
        <w:rPr>
          <w:rFonts w:ascii="微软雅黑" w:hAnsi="微软雅黑"/>
          <w:b/>
          <w:sz w:val="22"/>
        </w:rPr>
        <w:t>第三阶段（第12-18个月）——可控商业发布</w:t>
      </w:r>
      <w:r>
        <w:rPr>
          <w:rFonts w:ascii="微软雅黑" w:hAnsi="微软雅黑"/>
          <w:sz w:val="22"/>
        </w:rPr>
        <w:t>：获批后有节制地扩展部署。将系统投放至总计10-15个站点，密切支持每个安装以确保成功。收集真实世界临床数据：气胸率、穿刺次数、辐射剂量和诊断准确率。发布初步多中心研究或病例系列，展示机器人活检的优异效果以建立临床可信度。目标：以两位数安装量和 documented 的效果改善验证市场接受度，同时保持销售和团队精简以控制资金消耗。</w:t>
      </w:r>
    </w:p>
    <w:p>
      <w:r>
        <w:rPr>
          <w:rFonts w:ascii="微软雅黑" w:hAnsi="微软雅黑"/>
          <w:b/>
          <w:sz w:val="22"/>
        </w:rPr>
        <w:t>第四阶段（第18-24个月）——规模化与战略定位</w:t>
      </w:r>
      <w:r>
        <w:rPr>
          <w:rFonts w:ascii="微软雅黑" w:hAnsi="微软雅黑"/>
          <w:sz w:val="22"/>
        </w:rPr>
        <w:t>：约第18个月起，重点转向收购定位。总计扩展至20-30个安装站点，覆盖影响更广泛采用的意见领袖中心。继续发表或展示有说服力的临床证据。同时接洽战略合作方：开始与潜在收购方/OEM进行非正式讨论，准备尽职调查材料。目标：约第24个月时，拥有扎实的临床和商业概念验证，并获得积极的战略关注，为有利退出奠定基础。</w:t>
      </w:r>
    </w:p>
    <w:p>
      <w:r>
        <w:rPr>
          <w:rFonts w:ascii="微软雅黑" w:hAnsi="微软雅黑"/>
          <w:b/>
          <w:sz w:val="22"/>
        </w:rPr>
        <w:t>战略纪律</w:t>
      </w:r>
      <w:r>
        <w:rPr>
          <w:rFonts w:ascii="微软雅黑" w:hAnsi="微软雅黑"/>
          <w:sz w:val="22"/>
        </w:rPr>
        <w:t>：在整个阶段中，公司将避免过度扩张。销售策略保持精准（而非全国铺开）以节约资金。聚焦肺部活检——不分散资源到其他适应症，以免稀释资源或使监管复杂化。这种纪律性的市场进入执行确保里程碑按时按预算达成，支持最优退出场景。</w:t>
      </w:r>
    </w:p>
    <w:p>
      <w:pPr>
        <w:pStyle w:val="Heading1"/>
      </w:pPr>
      <w:r>
        <w:rPr>
          <w:rFonts w:ascii="微软雅黑" w:hAnsi="微软雅黑"/>
          <w:color w:val="2E5090"/>
        </w:rPr>
        <w:t>五、财务模型</w:t>
      </w:r>
    </w:p>
    <w:p>
      <w:r>
        <w:rPr>
          <w:rFonts w:ascii="微软雅黑" w:hAnsi="微软雅黑"/>
          <w:b/>
          <w:sz w:val="22"/>
        </w:rPr>
        <w:t>资金需求</w:t>
      </w:r>
      <w:r>
        <w:rPr>
          <w:rFonts w:ascii="微软雅黑" w:hAnsi="微软雅黑"/>
          <w:sz w:val="22"/>
        </w:rPr>
        <w:t>：24个月计划资本效率高，总计需要约3000万美元以达到关键里程碑和退出准备状态。初期监管审批可用相对较少的资金实现（约200万美元用于所有审批相关活动），此后大部分资金用于制造、现场部署和临床数据生成。融资策略可能分阶段进行：例如先完成种子轮达到FDA获批，再进行更大规模的A轮融资以支持商业化至20+安装量。</w:t>
      </w:r>
    </w:p>
    <w:tbl>
      <w:tblPr>
        <w:tblStyle w:val="MediumShading1-Accent1"/>
        <w:tblW w:type="auto" w:w="0"/>
        <w:tblLook w:firstColumn="1" w:firstRow="1" w:lastColumn="0" w:lastRow="0" w:noHBand="0" w:noVBand="1" w:val="04A0"/>
      </w:tblPr>
      <w:tblGrid>
        <w:gridCol w:w="4320"/>
        <w:gridCol w:w="4320"/>
      </w:tblGrid>
      <w:tr>
        <w:tc>
          <w:tcPr>
            <w:tcW w:type="dxa" w:w="4320"/>
          </w:tcPr>
          <w:p>
            <w:r>
              <w:t>类别</w:t>
            </w:r>
          </w:p>
        </w:tc>
        <w:tc>
          <w:tcPr>
            <w:tcW w:type="dxa" w:w="4320"/>
          </w:tcPr>
          <w:p>
            <w:r>
              <w:t>预算（范围）</w:t>
            </w:r>
          </w:p>
        </w:tc>
      </w:tr>
      <w:tr>
        <w:tc>
          <w:tcPr>
            <w:tcW w:type="dxa" w:w="4320"/>
          </w:tcPr>
          <w:p>
            <w:r>
              <w:t>监管与质量体系（FDA 510(k)）</w:t>
            </w:r>
          </w:p>
        </w:tc>
        <w:tc>
          <w:tcPr>
            <w:tcW w:type="dxa" w:w="4320"/>
          </w:tcPr>
          <w:p>
            <w:r>
              <w:t>150-230万美元</w:t>
            </w:r>
          </w:p>
        </w:tc>
      </w:tr>
      <w:tr>
        <w:tc>
          <w:tcPr>
            <w:tcW w:type="dxa" w:w="4320"/>
          </w:tcPr>
          <w:p>
            <w:r>
              <w:t>制造与规模化</w:t>
            </w:r>
          </w:p>
        </w:tc>
        <w:tc>
          <w:tcPr>
            <w:tcW w:type="dxa" w:w="4320"/>
          </w:tcPr>
          <w:p>
            <w:r>
              <w:t>500-800万美元</w:t>
            </w:r>
          </w:p>
        </w:tc>
      </w:tr>
      <w:tr>
        <w:tc>
          <w:tcPr>
            <w:tcW w:type="dxa" w:w="4320"/>
          </w:tcPr>
          <w:p>
            <w:r>
              <w:t>临床数据生成</w:t>
            </w:r>
          </w:p>
        </w:tc>
        <w:tc>
          <w:tcPr>
            <w:tcW w:type="dxa" w:w="4320"/>
          </w:tcPr>
          <w:p>
            <w:r>
              <w:t>600-1000万美元</w:t>
            </w:r>
          </w:p>
        </w:tc>
      </w:tr>
      <w:tr>
        <w:tc>
          <w:tcPr>
            <w:tcW w:type="dxa" w:w="4320"/>
          </w:tcPr>
          <w:p>
            <w:r>
              <w:t>商业发布（20-30台安装）</w:t>
            </w:r>
          </w:p>
        </w:tc>
        <w:tc>
          <w:tcPr>
            <w:tcW w:type="dxa" w:w="4320"/>
          </w:tcPr>
          <w:p>
            <w:r>
              <w:t>1000-1800万美元</w:t>
            </w:r>
          </w:p>
        </w:tc>
      </w:tr>
      <w:tr>
        <w:tc>
          <w:tcPr>
            <w:tcW w:type="dxa" w:w="4320"/>
          </w:tcPr>
          <w:p>
            <w:r>
              <w:t>一般与行政</w:t>
            </w:r>
          </w:p>
        </w:tc>
        <w:tc>
          <w:tcPr>
            <w:tcW w:type="dxa" w:w="4320"/>
          </w:tcPr>
          <w:p>
            <w:r>
              <w:t>500-800万美元</w:t>
            </w:r>
          </w:p>
        </w:tc>
      </w:tr>
      <w:tr>
        <w:tc>
          <w:tcPr>
            <w:tcW w:type="dxa" w:w="4320"/>
          </w:tcPr>
          <w:p>
            <w:r>
              <w:rPr>
                <w:b/>
              </w:rPr>
              <w:t>总计（2年计划）</w:t>
            </w:r>
          </w:p>
        </w:tc>
        <w:tc>
          <w:tcPr>
            <w:tcW w:type="dxa" w:w="4320"/>
          </w:tcPr>
          <w:p>
            <w:r>
              <w:rPr>
                <w:b/>
              </w:rPr>
              <w:t>约3000-3500万美元</w:t>
            </w:r>
          </w:p>
        </w:tc>
      </w:tr>
    </w:tbl>
    <w:p>
      <w:r>
        <w:rPr>
          <w:rFonts w:ascii="微软雅黑" w:hAnsi="微软雅黑"/>
          <w:b/>
          <w:sz w:val="22"/>
        </w:rPr>
        <w:t>收入模式</w:t>
      </w:r>
      <w:r>
        <w:rPr>
          <w:rFonts w:ascii="微软雅黑" w:hAnsi="微软雅黑"/>
          <w:sz w:val="22"/>
        </w:rPr>
        <w:t>：前24个月收入有限，因为投放仅限于试点站点。商业模式为资本设备销售（每台中六位数一次性销售）加上每次活检的耗材（穿刺针/套件）收入。早期设备可能以低价或通过研究合作方式投放，以促进采用并收集结果数据。这一阶段的重点不是显著收入增长，而是证明临床和经济价值以驱动战略价值创造。</w:t>
      </w:r>
    </w:p>
    <w:p>
      <w:r>
        <w:rPr>
          <w:rFonts w:ascii="微软雅黑" w:hAnsi="微软雅黑"/>
          <w:b/>
          <w:sz w:val="22"/>
        </w:rPr>
        <w:t>财务展望</w:t>
      </w:r>
      <w:r>
        <w:rPr>
          <w:rFonts w:ascii="微软雅黑" w:hAnsi="微软雅黑"/>
          <w:sz w:val="22"/>
        </w:rPr>
        <w:t>：在上述预算内执行，Abacus可以在不过度消耗资源的情况下实现价值拐点。精益策略（聚焦人员配置、合理外包制造、可控营销支出）保障现金流。实现关键里程碑（FDA获批、初期销售、发表临床结果）应能以更高估值获得额外融资，或者理想情况下在大规模商业化支出之前实现退出。</w:t>
      </w:r>
    </w:p>
    <w:p>
      <w:pPr>
        <w:pStyle w:val="Heading1"/>
      </w:pPr>
      <w:r>
        <w:rPr>
          <w:rFonts w:ascii="微软雅黑" w:hAnsi="微软雅黑"/>
          <w:color w:val="2E5090"/>
        </w:rPr>
        <w:t>六、退出路径</w:t>
      </w:r>
    </w:p>
    <w:p>
      <w:r>
        <w:rPr>
          <w:rFonts w:ascii="微软雅黑" w:hAnsi="微软雅黑"/>
          <w:b/>
          <w:sz w:val="22"/>
        </w:rPr>
        <w:t>目标退出策略</w:t>
      </w:r>
      <w:r>
        <w:rPr>
          <w:rFonts w:ascii="微软雅黑" w:hAnsi="微软雅黑"/>
          <w:sz w:val="22"/>
        </w:rPr>
        <w:t>：Abacus计划在约24-30个月内被大型医疗OEM战略收购。拥有全球商业基础设施的行业巨头可以在收购后快速扩展该技术。潜在收购方包括：寻求在CT平台上增加介入能力的大型影像/诊断公司（西门子医疗、GE医疗、飞利浦、佳能医疗），以及投资肺癌诊疗方案的顶级医疗器械和机器人公司（强生、美敦力、直觉外科）。</w:t>
      </w:r>
    </w:p>
    <w:p>
      <w:r>
        <w:rPr>
          <w:rFonts w:ascii="微软雅黑" w:hAnsi="微软雅黑"/>
          <w:b/>
          <w:sz w:val="22"/>
        </w:rPr>
        <w:t>对收购方的价值主张</w:t>
      </w:r>
      <w:r>
        <w:rPr>
          <w:rFonts w:ascii="微软雅黑" w:hAnsi="微软雅黑"/>
          <w:sz w:val="22"/>
        </w:rPr>
        <w:t>：通过收购Abacus，这些公司将获得一套经证明的、FDA获批的机器人技术，将其产品组合扩展至经皮肺部介入领域。该系统具有即时协同效应——例如，影像公司可以推动其CT扫描仪装机量的额外利用，器械公司可以补充现有的支气管镜或手术肿瘤学产品线。Abacus聚焦的临床数据包（显示改善的活检安全性和一致性）将为买方降低风险，使其成为即插即用的增值资产。</w:t>
      </w:r>
    </w:p>
    <w:p>
      <w:pPr>
        <w:pStyle w:val="Heading2"/>
      </w:pPr>
      <w:r>
        <w:rPr>
          <w:rFonts w:ascii="微软雅黑" w:hAnsi="微软雅黑"/>
          <w:color w:val="2E5090"/>
        </w:rPr>
        <w:t>预期退出时间与估值</w:t>
      </w:r>
    </w:p>
    <w:tbl>
      <w:tblPr>
        <w:tblStyle w:val="MediumShading1-Accent1"/>
        <w:tblW w:type="auto" w:w="0"/>
        <w:tblLook w:firstColumn="1" w:firstRow="1" w:lastColumn="0" w:lastRow="0" w:noHBand="0" w:noVBand="1" w:val="04A0"/>
      </w:tblPr>
      <w:tblGrid>
        <w:gridCol w:w="4320"/>
        <w:gridCol w:w="4320"/>
      </w:tblGrid>
      <w:tr>
        <w:tc>
          <w:tcPr>
            <w:tcW w:type="dxa" w:w="4320"/>
          </w:tcPr>
          <w:p>
            <w:r>
              <w:t>达成的里程碑</w:t>
            </w:r>
          </w:p>
        </w:tc>
        <w:tc>
          <w:tcPr>
            <w:tcW w:type="dxa" w:w="4320"/>
          </w:tcPr>
          <w:p>
            <w:r>
              <w:t>预估估值</w:t>
            </w:r>
          </w:p>
        </w:tc>
      </w:tr>
      <w:tr>
        <w:tc>
          <w:tcPr>
            <w:tcW w:type="dxa" w:w="4320"/>
          </w:tcPr>
          <w:p>
            <w:r>
              <w:t>510(k)申报已提交（监管）</w:t>
            </w:r>
          </w:p>
        </w:tc>
        <w:tc>
          <w:tcPr>
            <w:tcW w:type="dxa" w:w="4320"/>
          </w:tcPr>
          <w:p>
            <w:r>
              <w:t>约7000万-1.2亿美元</w:t>
            </w:r>
          </w:p>
        </w:tc>
      </w:tr>
      <w:tr>
        <w:tc>
          <w:tcPr>
            <w:tcW w:type="dxa" w:w="4320"/>
          </w:tcPr>
          <w:p>
            <w:r>
              <w:t>获得FDA批准</w:t>
            </w:r>
          </w:p>
        </w:tc>
        <w:tc>
          <w:tcPr>
            <w:tcW w:type="dxa" w:w="4320"/>
          </w:tcPr>
          <w:p>
            <w:r>
              <w:t>约1.2亿-2亿美元</w:t>
            </w:r>
          </w:p>
        </w:tc>
      </w:tr>
      <w:tr>
        <w:tc>
          <w:tcPr>
            <w:tcW w:type="dxa" w:w="4320"/>
          </w:tcPr>
          <w:p>
            <w:r>
              <w:t>约10台安装 + 积极早期数据</w:t>
            </w:r>
          </w:p>
        </w:tc>
        <w:tc>
          <w:tcPr>
            <w:tcW w:type="dxa" w:w="4320"/>
          </w:tcPr>
          <w:p>
            <w:r>
              <w:t>约2亿-3亿美元</w:t>
            </w:r>
          </w:p>
        </w:tc>
      </w:tr>
      <w:tr>
        <w:tc>
          <w:tcPr>
            <w:tcW w:type="dxa" w:w="4320"/>
          </w:tcPr>
          <w:p>
            <w:r>
              <w:t>约20-30台安装 + 发表研究</w:t>
            </w:r>
          </w:p>
        </w:tc>
        <w:tc>
          <w:tcPr>
            <w:tcW w:type="dxa" w:w="4320"/>
          </w:tcPr>
          <w:p>
            <w:r>
              <w:t>约3亿-5亿美元</w:t>
            </w:r>
          </w:p>
        </w:tc>
      </w:tr>
    </w:tbl>
    <w:p>
      <w:r>
        <w:rPr>
          <w:rFonts w:ascii="微软雅黑" w:hAnsi="微软雅黑"/>
          <w:b/>
          <w:sz w:val="22"/>
        </w:rPr>
        <w:t>退出估值预期</w:t>
      </w:r>
      <w:r>
        <w:rPr>
          <w:rFonts w:ascii="微软雅黑" w:hAnsi="微软雅黑"/>
          <w:sz w:val="22"/>
        </w:rPr>
        <w:t>：通过纪律性执行，约3亿美元的退出是现实目标，如出现多个竞标方或平台更广泛的价值被认可，则有上行空间。</w:t>
      </w:r>
    </w:p>
    <w:p>
      <w:pPr>
        <w:pStyle w:val="Heading2"/>
      </w:pPr>
      <w:r>
        <w:rPr>
          <w:rFonts w:ascii="微软雅黑" w:hAnsi="微软雅黑"/>
          <w:color w:val="2E5090"/>
        </w:rPr>
        <w:t>关键风险缓解</w:t>
      </w:r>
    </w:p>
    <w:p>
      <w:pPr>
        <w:pStyle w:val="ListBullet"/>
      </w:pPr>
      <w:r>
        <w:rPr>
          <w:rFonts w:ascii="微软雅黑" w:hAnsi="微软雅黑"/>
          <w:b/>
        </w:rPr>
        <w:t>监管审慎</w:t>
      </w:r>
      <w:r>
        <w:rPr>
          <w:rFonts w:ascii="微软雅黑" w:hAnsi="微软雅黑"/>
        </w:rPr>
        <w:t>：避免过度雄心勃勃的声明（无全自动功能），以免使FDA审批复杂化或延迟</w:t>
      </w:r>
    </w:p>
    <w:p>
      <w:pPr>
        <w:pStyle w:val="ListBullet"/>
      </w:pPr>
      <w:r>
        <w:rPr>
          <w:rFonts w:ascii="微软雅黑" w:hAnsi="微软雅黑"/>
          <w:b/>
        </w:rPr>
        <w:t>临床效果聚焦</w:t>
      </w:r>
      <w:r>
        <w:rPr>
          <w:rFonts w:ascii="微软雅黑" w:hAnsi="微软雅黑"/>
        </w:rPr>
        <w:t>：确保系统提供明确的临床改善（如提高活检成功率、减少每次活检的扫描次数）以验证价值主张</w:t>
      </w:r>
    </w:p>
    <w:p>
      <w:pPr>
        <w:pStyle w:val="ListBullet"/>
      </w:pPr>
      <w:r>
        <w:rPr>
          <w:rFonts w:ascii="微软雅黑" w:hAnsi="微软雅黑"/>
          <w:b/>
        </w:rPr>
        <w:t>采纳节奏</w:t>
      </w:r>
      <w:r>
        <w:rPr>
          <w:rFonts w:ascii="微软雅黑" w:hAnsi="微软雅黑"/>
        </w:rPr>
        <w:t>：在第18个月前推动超过10台安装以证明市场牵引力，同时保持销售团队精简以控制资金消耗</w:t>
      </w:r>
    </w:p>
    <w:p>
      <w:pPr>
        <w:pStyle w:val="ListBullet"/>
      </w:pPr>
      <w:r>
        <w:rPr>
          <w:rFonts w:ascii="微软雅黑" w:hAnsi="微软雅黑"/>
          <w:b/>
        </w:rPr>
        <w:t>保持聚焦</w:t>
      </w:r>
      <w:r>
        <w:rPr>
          <w:rFonts w:ascii="微软雅黑" w:hAnsi="微软雅黑"/>
        </w:rPr>
        <w:t>：在退出前专注于肺、肝、肾活检（不急于扩展至不相关适应症），以最佳利用既有中国临床数据、最大化影响力并高效使用资金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