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Migration Guidance</w:t>
      </w:r>
    </w:p>
    <w:p>
      <w:pPr>
        <w:pStyle w:val="Normal"/>
        <w:spacing w:beforeAutospacing="1" w:afterAutospacing="1"/>
        <w:rPr>
          <w:lang w:eastAsia="ja-JP"/>
        </w:rPr>
      </w:pPr>
      <w:r>
        <w:rPr/>
      </w:r>
    </w:p>
    <w:p>
      <w:pPr>
        <w:pStyle w:val="Normal"/>
        <w:spacing w:beforeAutospacing="1" w:afterAutospacing="1"/>
        <w:rPr>
          <w:lang w:eastAsia="ja-JP"/>
        </w:rPr>
      </w:pPr>
      <w:r>
        <w:rPr/>
        <w:t>Legacy extraction workflows are no longer recommended. Updated processing behavior is described below.</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936650190"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Application>LibreOffice/7.3.7.2$Linux_X86_64 LibreOffice_project/30$Build-2</Application>
  <AppVersion>15.0000</AppVersion>
  <Pages>190</Pages>
  <Words>94818</Words>
  <Characters>478327</Characters>
  <CharactersWithSpaces>567846</CharactersWithSpaces>
  <Paragraphs>5624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2026-06-16T14:27:38Z</dcterms:modified>
  <cp:revision>19</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