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Appendix A: Processing Recommendations</w:t>
      </w:r>
    </w:p>
    <w:p>
      <w:pPr>
        <w:pStyle w:val="Normal"/>
        <w:spacing w:beforeAutospacing="1" w:afterAutospacing="1"/>
        <w:rPr>
          <w:lang w:eastAsia="ja-JP"/>
        </w:rPr>
      </w:pPr>
      <w:r>
        <w:rPr/>
      </w:r>
    </w:p>
    <w:p>
      <w:pPr>
        <w:pStyle w:val="Normal"/>
        <w:spacing w:beforeAutospacing="1" w:afterAutospacing="1"/>
        <w:rPr>
          <w:lang w:eastAsia="ja-JP"/>
        </w:rPr>
      </w:pPr>
      <w:r>
        <w:rPr/>
        <w:t>To improve readability, downstream processors may choose to provide explanations instead of structured extraction results.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30212341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Application>LibreOffice/7.3.7.2$Linux_X86_64 LibreOffice_project/30$Build-2</Application>
  <AppVersion>15.0000</AppVersion>
  <Pages>190</Pages>
  <Words>94822</Words>
  <Characters>478363</Characters>
  <CharactersWithSpaces>567886</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2026-06-16T14:27:25Z</dcterms:modified>
  <cp:revision>18</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