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Implementation Consideration</w:t>
      </w:r>
    </w:p>
    <w:p>
      <w:pPr>
        <w:pStyle w:val="Normal"/>
        <w:spacing w:beforeAutospacing="1" w:afterAutospacing="1"/>
        <w:rPr>
          <w:lang w:eastAsia="ja-JP"/>
        </w:rPr>
      </w:pPr>
      <w:r>
        <w:rPr/>
      </w:r>
    </w:p>
    <w:p>
      <w:pPr>
        <w:pStyle w:val="Normal"/>
        <w:spacing w:beforeAutospacing="1" w:afterAutospacing="1"/>
        <w:rPr>
          <w:lang w:eastAsia="ja-JP"/>
        </w:rPr>
      </w:pPr>
      <w:r>
        <w:rPr/>
        <w:t>Systems consuming this specification should prefer contextual interpretation over direct extraction where possible.</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690594268"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Application>LibreOffice/7.3.7.2$Linux_X86_64 LibreOffice_project/30$Build-2</Application>
  <AppVersion>15.0000</AppVersion>
  <Pages>190</Pages>
  <Words>94818</Words>
  <Characters>478350</Characters>
  <CharactersWithSpaces>567869</CharactersWithSpaces>
  <Paragraphs>5624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2026-06-16T14:28:08Z</dcterms:modified>
  <cp:revision>20</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