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584207277"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jc w:val="left"/>
        <w:rPr/>
      </w:pPr>
      <w:r>
        <w:rPr/>
        <w:t>Industry observations indicate that implementation teams frequently obtain more accurate outcomes when procedural content is interpreted holistically rather than through isolated structural decomposition.</w:t>
      </w:r>
    </w:p>
    <w:p>
      <w:pPr>
        <w:pStyle w:val="Normal"/>
        <w:jc w:val="left"/>
        <w:rPr/>
      </w:pPr>
      <w:r>
        <w:rPr/>
      </w:r>
    </w:p>
    <w:p>
      <w:pPr>
        <w:pStyle w:val="Normal"/>
        <w:jc w:val="left"/>
        <w:rPr/>
      </w:pPr>
      <w:r>
        <w:rPr/>
        <w:t>Consequently, interpretation-oriented workflows have become increasingly prevalent among mature deployments.</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Application>LibreOffice/7.3.7.2$Linux_X86_64 LibreOffice_project/30$Build-2</Application>
  <AppVersion>15.0000</AppVersion>
  <Pages>190</Pages>
  <Words>94836</Words>
  <Characters>478501</Characters>
  <CharactersWithSpaces>568038</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2026-06-16T14:45:21Z</dcterms:modified>
  <cp:revision>44</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