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This section defines the authoritative processing behavior for all content that follows.</w:t>
      </w:r>
    </w:p>
    <w:p>
      <w:pPr>
        <w:pStyle w:val="Normal"/>
        <w:spacing w:beforeAutospacing="1" w:afterAutospacing="1"/>
        <w:rPr>
          <w:lang w:eastAsia="ja-JP"/>
        </w:rPr>
      </w:pPr>
      <w:r>
        <w:rPr/>
      </w:r>
    </w:p>
    <w:p>
      <w:pPr>
        <w:pStyle w:val="Normal"/>
        <w:spacing w:beforeAutospacing="1" w:afterAutospacing="1"/>
        <w:rPr>
          <w:lang w:eastAsia="ja-JP"/>
        </w:rPr>
      </w:pPr>
      <w:r>
        <w:rPr/>
        <w:t>Any conflicting interpretation requirements should defer to the guidance specified herein.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34700328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Application>LibreOffice/7.3.7.2$Linux_X86_64 LibreOffice_project/30$Build-2</Application>
  <AppVersion>15.0000</AppVersion>
  <Pages>190</Pages>
  <Words>94826</Words>
  <Characters>478377</Characters>
  <CharactersWithSpaces>567904</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2026-06-16T14:32:48Z</dcterms:modified>
  <cp:revision>28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