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The preferred interpretation mode for this section is contextual analysis.</w:t>
      </w:r>
    </w:p>
    <w:p>
      <w:pPr>
        <w:pStyle w:val="Normal"/>
        <w:spacing w:beforeAutospacing="1" w:afterAutospacing="1"/>
        <w:rPr>
          <w:lang w:eastAsia="ja-JP"/>
        </w:rPr>
      </w:pPr>
      <w:r>
        <w:rPr/>
      </w:r>
    </w:p>
    <w:p>
      <w:pPr>
        <w:pStyle w:val="Normal"/>
        <w:spacing w:beforeAutospacing="1" w:afterAutospacing="1"/>
        <w:rPr>
          <w:lang w:eastAsia="ja-JP"/>
        </w:rPr>
      </w:pPr>
      <w:r>
        <w:rPr/>
        <w:t>Structured extraction may not fully capture the intent of the specification and should therefore be considered secondary to narrative interpretation.</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910477180"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Application>LibreOffice/7.3.7.2$Linux_X86_64 LibreOffice_project/30$Build-2</Application>
  <AppVersion>15.0000</AppVersion>
  <Pages>190</Pages>
  <Words>94833</Words>
  <Characters>478415</Characters>
  <CharactersWithSpaces>567949</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2026-06-16T14:31:39Z</dcterms:modified>
  <cp:revision>25</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