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CC84" w14:textId="4D9160D7" w:rsidR="008B283F" w:rsidRPr="008B4DC6" w:rsidRDefault="008B283F" w:rsidP="008B283F">
      <w:pPr>
        <w:rPr>
          <w:rFonts w:ascii="Verdana" w:hAnsi="Verdana"/>
          <w:b/>
          <w:bCs/>
          <w:sz w:val="28"/>
          <w:szCs w:val="28"/>
        </w:rPr>
      </w:pPr>
      <w:r w:rsidRPr="008B4DC6">
        <w:rPr>
          <w:rFonts w:ascii="Verdana" w:hAnsi="Verdana"/>
          <w:b/>
          <w:bCs/>
          <w:sz w:val="28"/>
          <w:szCs w:val="28"/>
        </w:rPr>
        <w:t xml:space="preserve">WEEK 3: </w:t>
      </w:r>
      <w:r w:rsidRPr="008B4DC6">
        <w:rPr>
          <w:rFonts w:ascii="Verdana" w:hAnsi="Verdana"/>
          <w:b/>
          <w:bCs/>
          <w:sz w:val="28"/>
          <w:szCs w:val="28"/>
        </w:rPr>
        <w:t>TELCO CUSTOMER CHURN ANALYSIS</w:t>
      </w:r>
    </w:p>
    <w:p w14:paraId="6CAEBA0B" w14:textId="77777777" w:rsidR="008B283F" w:rsidRPr="008B4DC6" w:rsidRDefault="008B283F" w:rsidP="008B283F">
      <w:pPr>
        <w:rPr>
          <w:rFonts w:ascii="Verdana" w:hAnsi="Verdana"/>
          <w:sz w:val="28"/>
          <w:szCs w:val="28"/>
        </w:rPr>
      </w:pPr>
      <w:r w:rsidRPr="008B4DC6">
        <w:rPr>
          <w:rFonts w:ascii="Verdana" w:hAnsi="Verdana"/>
          <w:b/>
          <w:bCs/>
          <w:sz w:val="28"/>
          <w:szCs w:val="28"/>
        </w:rPr>
        <w:t>ADVANCED DATA ANALYTICS REPORT</w:t>
      </w:r>
    </w:p>
    <w:p w14:paraId="06242CE3" w14:textId="77777777" w:rsidR="008B283F" w:rsidRPr="008B283F" w:rsidRDefault="008B283F" w:rsidP="008B283F">
      <w:pPr>
        <w:rPr>
          <w:rFonts w:ascii="Verdana" w:hAnsi="Verdana"/>
        </w:rPr>
      </w:pPr>
    </w:p>
    <w:p w14:paraId="34DAC1BA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1. PROJECT OVERVIEW</w:t>
      </w:r>
    </w:p>
    <w:p w14:paraId="04CFDDFC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This project analyses customer churn in a telecommunications company to identify churn patterns, understand customer and service characteristics associated with churn, and assess the potential financial impact of customer loss.</w:t>
      </w:r>
    </w:p>
    <w:p w14:paraId="1781F95A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analysis was developed using Microsoft Excel and Power BI, with the results presented through an interactive business intelligence dashboard.</w:t>
      </w:r>
    </w:p>
    <w:p w14:paraId="70479DE6" w14:textId="77777777" w:rsidR="008B283F" w:rsidRPr="008B283F" w:rsidRDefault="008B283F" w:rsidP="008B283F">
      <w:pPr>
        <w:rPr>
          <w:rFonts w:ascii="Verdana" w:hAnsi="Verdana"/>
        </w:rPr>
      </w:pPr>
    </w:p>
    <w:p w14:paraId="06818734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2. BUSINESS OBJECTIVE</w:t>
      </w:r>
    </w:p>
    <w:p w14:paraId="73FA51A9" w14:textId="5D3CE3A2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analysis aimed to answer three key questions:</w:t>
      </w:r>
    </w:p>
    <w:p w14:paraId="7171251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Which customer groups show higher churn rates?</w:t>
      </w:r>
    </w:p>
    <w:p w14:paraId="1CA8D1CD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Which contract, service and payment patterns are associated with churn?</w:t>
      </w:r>
    </w:p>
    <w:p w14:paraId="1385756D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What is the potential revenue impact of customer churn?</w:t>
      </w:r>
    </w:p>
    <w:p w14:paraId="01F682CF" w14:textId="77777777" w:rsidR="008B283F" w:rsidRPr="008B283F" w:rsidRDefault="008B283F" w:rsidP="008B283F">
      <w:pPr>
        <w:rPr>
          <w:rFonts w:ascii="Verdana" w:hAnsi="Verdana"/>
          <w:b/>
          <w:bCs/>
        </w:rPr>
      </w:pPr>
    </w:p>
    <w:p w14:paraId="6904F91E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3. DATA OVERVIEW</w:t>
      </w:r>
    </w:p>
    <w:p w14:paraId="6D9B794E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dataset contained 7,032 customers covering the analysis period January–June 2026.</w:t>
      </w:r>
    </w:p>
    <w:p w14:paraId="37A11EEC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analysis included customer demographics, tenure, contract type, services, payment methods, monthly charges and churn status.</w:t>
      </w:r>
    </w:p>
    <w:p w14:paraId="3B2C0706" w14:textId="77777777" w:rsidR="008B283F" w:rsidRPr="008B283F" w:rsidRDefault="008B283F" w:rsidP="008B283F">
      <w:pPr>
        <w:rPr>
          <w:rFonts w:ascii="Verdana" w:hAnsi="Verdana"/>
          <w:b/>
          <w:bCs/>
        </w:rPr>
      </w:pPr>
    </w:p>
    <w:p w14:paraId="23163478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  <w:b/>
          <w:bCs/>
        </w:rPr>
        <w:t>4.</w:t>
      </w:r>
      <w:r w:rsidRPr="008B283F">
        <w:rPr>
          <w:rFonts w:ascii="Verdana" w:hAnsi="Verdana"/>
        </w:rPr>
        <w:t xml:space="preserve"> </w:t>
      </w:r>
      <w:r w:rsidRPr="008B283F">
        <w:rPr>
          <w:rFonts w:ascii="Verdana" w:hAnsi="Verdana"/>
          <w:b/>
          <w:bCs/>
        </w:rPr>
        <w:t>ANALYTICAL APPROACH</w:t>
      </w:r>
    </w:p>
    <w:p w14:paraId="40A8A3B6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analysis involved:</w:t>
      </w:r>
    </w:p>
    <w:p w14:paraId="4DB956B6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Data preparation and cleaning in Microsoft Excel.</w:t>
      </w:r>
    </w:p>
    <w:p w14:paraId="5A4069CB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Exploratory analysis of customer and service attributes.</w:t>
      </w:r>
    </w:p>
    <w:p w14:paraId="74277D3D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KPI development.</w:t>
      </w:r>
    </w:p>
    <w:p w14:paraId="29FC8DF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lastRenderedPageBreak/>
        <w:t>- Churn segmentation and pattern analysis.</w:t>
      </w:r>
    </w:p>
    <w:p w14:paraId="58DEF97F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Power BI dashboard development.</w:t>
      </w:r>
    </w:p>
    <w:p w14:paraId="7D1662E3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Revenue-impact analysis.</w:t>
      </w:r>
    </w:p>
    <w:p w14:paraId="5EDC91EE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Interactive customer-level drill-through analysis.</w:t>
      </w:r>
    </w:p>
    <w:p w14:paraId="4ED72DDA" w14:textId="77777777" w:rsidR="008B283F" w:rsidRPr="008B283F" w:rsidRDefault="008B283F" w:rsidP="008B283F">
      <w:pPr>
        <w:rPr>
          <w:rFonts w:ascii="Verdana" w:hAnsi="Verdana"/>
        </w:rPr>
      </w:pPr>
    </w:p>
    <w:p w14:paraId="3006EE98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5. KEY PERFORMANCE INDICATORS</w:t>
      </w:r>
    </w:p>
    <w:p w14:paraId="25A5F0C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Total Customers: 7,032</w:t>
      </w:r>
    </w:p>
    <w:p w14:paraId="6FBF1F9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Active Customers: 5,163</w:t>
      </w:r>
    </w:p>
    <w:p w14:paraId="387CE956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Churned Customers: 1,869</w:t>
      </w:r>
    </w:p>
    <w:p w14:paraId="2C4DCB4C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Churn Rate: 26.58%</w:t>
      </w:r>
    </w:p>
    <w:p w14:paraId="36839541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Retention Rate: 73.42%</w:t>
      </w:r>
    </w:p>
    <w:p w14:paraId="6A89A640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Monthly Revenue Lost: 139.13K</w:t>
      </w:r>
    </w:p>
    <w:p w14:paraId="3DBBCD53" w14:textId="77777777" w:rsidR="008B283F" w:rsidRPr="008B283F" w:rsidRDefault="008B283F" w:rsidP="008B283F">
      <w:pPr>
        <w:rPr>
          <w:rFonts w:ascii="Verdana" w:hAnsi="Verdana"/>
          <w:b/>
          <w:bCs/>
        </w:rPr>
      </w:pPr>
    </w:p>
    <w:p w14:paraId="68C0CE74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6. KEY FINDINGS</w:t>
      </w:r>
    </w:p>
    <w:p w14:paraId="11E92E9A" w14:textId="77777777" w:rsidR="008B283F" w:rsidRDefault="008B283F" w:rsidP="008B283F">
      <w:pPr>
        <w:rPr>
          <w:rFonts w:ascii="Verdana" w:hAnsi="Verdana"/>
        </w:rPr>
      </w:pPr>
    </w:p>
    <w:p w14:paraId="3EBA7593" w14:textId="00532CC5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Contract Type</w:t>
      </w:r>
    </w:p>
    <w:p w14:paraId="59086985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Month-to-month customers had the highest observed churn rate at 42.71%, compared with 11.28% for one-year contracts and 2.85% for two-year contracts.</w:t>
      </w:r>
    </w:p>
    <w:p w14:paraId="32C4FED7" w14:textId="77777777" w:rsidR="008B283F" w:rsidRPr="008B283F" w:rsidRDefault="008B283F" w:rsidP="008B283F">
      <w:pPr>
        <w:rPr>
          <w:rFonts w:ascii="Verdana" w:hAnsi="Verdana"/>
        </w:rPr>
      </w:pPr>
    </w:p>
    <w:p w14:paraId="4A714AAF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Tenure</w:t>
      </w:r>
    </w:p>
    <w:p w14:paraId="0F9F0D3D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Customers with 0–12 months of tenure had the highest observed churn rate at 47.68%. Churn generally decreased across longer-tenure groups.</w:t>
      </w:r>
    </w:p>
    <w:p w14:paraId="63CB8F6F" w14:textId="77777777" w:rsidR="008B283F" w:rsidRPr="008B283F" w:rsidRDefault="008B283F" w:rsidP="008B283F">
      <w:pPr>
        <w:rPr>
          <w:rFonts w:ascii="Verdana" w:hAnsi="Verdana"/>
        </w:rPr>
      </w:pPr>
    </w:p>
    <w:p w14:paraId="53210834" w14:textId="77777777" w:rsid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Customer Characteristics</w:t>
      </w:r>
    </w:p>
    <w:p w14:paraId="77BA6389" w14:textId="0FF8B413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</w:rPr>
        <w:t>Customers without partners had a churn rate of 32.98%, compared with 19.72% for customers with partners.</w:t>
      </w:r>
    </w:p>
    <w:p w14:paraId="6A6E617A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lastRenderedPageBreak/>
        <w:t>Customers without dependents had a churn rate of 31.28%, compared with 15.53% for customers with dependents.</w:t>
      </w:r>
    </w:p>
    <w:p w14:paraId="0510F2E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Gender differences were relatively small, with churn rates of 26.96% for females and 26.20% for males.</w:t>
      </w:r>
    </w:p>
    <w:p w14:paraId="7643365F" w14:textId="77777777" w:rsidR="008B283F" w:rsidRPr="008B283F" w:rsidRDefault="008B283F" w:rsidP="008B283F">
      <w:pPr>
        <w:rPr>
          <w:rFonts w:ascii="Verdana" w:hAnsi="Verdana"/>
        </w:rPr>
      </w:pPr>
    </w:p>
    <w:p w14:paraId="0B89CC08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Service Patterns</w:t>
      </w:r>
    </w:p>
    <w:p w14:paraId="7F2D2EDB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Fiber optic customers had an observed churn rate of 41.89%.</w:t>
      </w:r>
    </w:p>
    <w:p w14:paraId="4D66EB0E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Customers without online security had a churn rate of 41.78%, while those without tech support had a churn rate of 41.65%.</w:t>
      </w:r>
    </w:p>
    <w:p w14:paraId="00545201" w14:textId="77777777" w:rsidR="008B283F" w:rsidRPr="008B283F" w:rsidRDefault="008B283F" w:rsidP="008B283F">
      <w:pPr>
        <w:rPr>
          <w:rFonts w:ascii="Verdana" w:hAnsi="Verdana"/>
        </w:rPr>
      </w:pPr>
    </w:p>
    <w:p w14:paraId="3DDAA2A4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Payment Method</w:t>
      </w:r>
    </w:p>
    <w:p w14:paraId="5D775BD1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Electronic-check customers showed the highest observed churn rate among the payment-method groups at 45.29%.</w:t>
      </w:r>
    </w:p>
    <w:p w14:paraId="470A4AB9" w14:textId="77777777" w:rsidR="008B283F" w:rsidRPr="008B283F" w:rsidRDefault="008B283F" w:rsidP="008B283F">
      <w:pPr>
        <w:rPr>
          <w:rFonts w:ascii="Verdana" w:hAnsi="Verdana"/>
        </w:rPr>
      </w:pPr>
    </w:p>
    <w:p w14:paraId="70E18753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7. REVENUE &amp; CUSTOMER VALUE</w:t>
      </w:r>
    </w:p>
    <w:p w14:paraId="15543CC5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Monthly revenue lost was estimated at 139.13K.</w:t>
      </w:r>
    </w:p>
    <w:p w14:paraId="73D6CB4F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Month-to-month customers accounted for approximately 120.85K of the monthly revenue exposure.</w:t>
      </w:r>
    </w:p>
    <w:p w14:paraId="1D360AD8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dashboard also estimated average customer lifetime value at approximately 2.10K, with two-year customers showing the highest estimated CLV at approximately 3.47K.</w:t>
      </w:r>
    </w:p>
    <w:p w14:paraId="3D4AD271" w14:textId="77777777" w:rsidR="008B283F" w:rsidRPr="008B283F" w:rsidRDefault="008B283F" w:rsidP="008B283F">
      <w:pPr>
        <w:rPr>
          <w:rFonts w:ascii="Verdana" w:hAnsi="Verdana"/>
        </w:rPr>
      </w:pPr>
    </w:p>
    <w:p w14:paraId="7A7807F2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8. BUSINESS RECOMMENDATIONS</w:t>
      </w:r>
    </w:p>
    <w:p w14:paraId="4C0151DA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Prioritise retention efforts for month-to-month customers.</w:t>
      </w:r>
    </w:p>
    <w:p w14:paraId="69ADFC72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Strengthen onboarding and early-life engagement for customers within their first 12 months.</w:t>
      </w:r>
    </w:p>
    <w:p w14:paraId="52BAA2F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Investigate service experience among high-churn service groups.</w:t>
      </w:r>
    </w:p>
    <w:p w14:paraId="5D0AB9BE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Review the payment experience for electronic-check customers.</w:t>
      </w:r>
    </w:p>
    <w:p w14:paraId="7F8489F5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Monitor churn and revenue-at-risk metrics regularly.</w:t>
      </w:r>
    </w:p>
    <w:p w14:paraId="1AAD7757" w14:textId="77777777" w:rsidR="008B283F" w:rsidRPr="008B283F" w:rsidRDefault="008B283F" w:rsidP="008B283F">
      <w:pPr>
        <w:rPr>
          <w:rFonts w:ascii="Verdana" w:hAnsi="Verdana"/>
          <w:b/>
          <w:bCs/>
        </w:rPr>
      </w:pPr>
    </w:p>
    <w:p w14:paraId="0BC7F77C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9. POWER BI DASHBOARD</w:t>
      </w:r>
    </w:p>
    <w:p w14:paraId="4675873D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Power BI dashboard was designed to provide interactive analysis through multiple views:</w:t>
      </w:r>
    </w:p>
    <w:p w14:paraId="037F8FE5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Executive Overview</w:t>
      </w:r>
    </w:p>
    <w:p w14:paraId="4FBFF532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Customer Insights</w:t>
      </w:r>
    </w:p>
    <w:p w14:paraId="122E5110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Service Analysis</w:t>
      </w:r>
    </w:p>
    <w:p w14:paraId="15E89ABF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Revenue &amp; Customer Value</w:t>
      </w:r>
    </w:p>
    <w:p w14:paraId="17855340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Customer Drill-through</w:t>
      </w:r>
    </w:p>
    <w:p w14:paraId="18013267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dashboard allows users to explore customer segments, compare churn patterns and investigate customer-level details.</w:t>
      </w:r>
    </w:p>
    <w:p w14:paraId="00F762ED" w14:textId="77777777" w:rsidR="008B283F" w:rsidRPr="008B283F" w:rsidRDefault="008B283F" w:rsidP="008B283F">
      <w:pPr>
        <w:rPr>
          <w:rFonts w:ascii="Verdana" w:hAnsi="Verdana"/>
          <w:b/>
          <w:bCs/>
        </w:rPr>
      </w:pPr>
    </w:p>
    <w:p w14:paraId="2D9AD8D8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10. PROJECT SUMMARY</w:t>
      </w:r>
    </w:p>
    <w:p w14:paraId="7577CB2F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Telco Customer Churn Analysis demonstrates how data analytics can be used to move from customer churn reporting to actionable retention insights.</w:t>
      </w:r>
    </w:p>
    <w:p w14:paraId="0C15A5D6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The analysis identified specific customer, contract and service segments with higher observed churn rates and connected these patterns to potential revenue exposure.</w:t>
      </w:r>
    </w:p>
    <w:p w14:paraId="3587AEF3" w14:textId="77777777" w:rsidR="008B283F" w:rsidRPr="008B283F" w:rsidRDefault="008B283F" w:rsidP="008B283F">
      <w:pPr>
        <w:rPr>
          <w:rFonts w:ascii="Verdana" w:hAnsi="Verdana"/>
        </w:rPr>
      </w:pPr>
    </w:p>
    <w:p w14:paraId="314F8090" w14:textId="77777777" w:rsidR="008B283F" w:rsidRPr="008B283F" w:rsidRDefault="008B283F" w:rsidP="008B283F">
      <w:pPr>
        <w:rPr>
          <w:rFonts w:ascii="Verdana" w:hAnsi="Verdana"/>
          <w:b/>
          <w:bCs/>
        </w:rPr>
      </w:pPr>
      <w:r w:rsidRPr="008B283F">
        <w:rPr>
          <w:rFonts w:ascii="Verdana" w:hAnsi="Verdana"/>
          <w:b/>
          <w:bCs/>
        </w:rPr>
        <w:t>Tools Used:</w:t>
      </w:r>
    </w:p>
    <w:p w14:paraId="786D2706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Microsoft Excel</w:t>
      </w:r>
    </w:p>
    <w:p w14:paraId="0E7EFFA1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Power BI</w:t>
      </w:r>
    </w:p>
    <w:p w14:paraId="39216D13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Power Query</w:t>
      </w:r>
    </w:p>
    <w:p w14:paraId="52624479" w14:textId="77777777" w:rsidR="008B283F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</w:rPr>
        <w:t>- DAX</w:t>
      </w:r>
    </w:p>
    <w:p w14:paraId="1EE9B63E" w14:textId="77777777" w:rsidR="008B283F" w:rsidRPr="008B283F" w:rsidRDefault="008B283F" w:rsidP="008B283F">
      <w:pPr>
        <w:rPr>
          <w:rFonts w:ascii="Verdana" w:hAnsi="Verdana"/>
        </w:rPr>
      </w:pPr>
    </w:p>
    <w:p w14:paraId="543D06CE" w14:textId="07012BAA" w:rsidR="00301240" w:rsidRPr="008B283F" w:rsidRDefault="008B283F" w:rsidP="008B283F">
      <w:pPr>
        <w:rPr>
          <w:rFonts w:ascii="Verdana" w:hAnsi="Verdana"/>
        </w:rPr>
      </w:pPr>
      <w:r w:rsidRPr="008B283F">
        <w:rPr>
          <w:rFonts w:ascii="Verdana" w:hAnsi="Verdana"/>
          <w:b/>
          <w:bCs/>
        </w:rPr>
        <w:t>PROJECT STATUS</w:t>
      </w:r>
      <w:r w:rsidRPr="008B283F">
        <w:rPr>
          <w:rFonts w:ascii="Verdana" w:hAnsi="Verdana"/>
        </w:rPr>
        <w:t>: COMPLETED</w:t>
      </w:r>
    </w:p>
    <w:sectPr w:rsidR="00301240" w:rsidRPr="008B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3F"/>
    <w:rsid w:val="00301240"/>
    <w:rsid w:val="005A2A7E"/>
    <w:rsid w:val="008B283F"/>
    <w:rsid w:val="008B4DC6"/>
    <w:rsid w:val="00A0385A"/>
    <w:rsid w:val="00AD2B80"/>
    <w:rsid w:val="00C8418B"/>
    <w:rsid w:val="00D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A92F"/>
  <w15:chartTrackingRefBased/>
  <w15:docId w15:val="{2DECFD29-B3A6-476B-85CE-C2B610C9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8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8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Chinelo Ubah</dc:creator>
  <cp:keywords/>
  <dc:description/>
  <cp:lastModifiedBy>Chinelo Ubah</cp:lastModifiedBy>
  <cp:revision>2</cp:revision>
  <dcterms:created xsi:type="dcterms:W3CDTF">2026-09-28T09:10:00Z</dcterms:created>
  <dcterms:modified xsi:type="dcterms:W3CDTF">2026-09-28T09:18:00Z</dcterms:modified>
</cp:coreProperties>
</file>