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Proteomics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Number of features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5,948.000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4533.938 ± 838.623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Missing percentage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24.382 ± 9.879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Absolute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 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Coefficient of variantion (CV,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6.705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22.52 ± 8.324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F9115"/>
              </w:rPr>
            </w:pPr>
            <w:r>
              <w:rPr>
                <w:rFonts w:ascii="Helvetica" w:hAnsi="Helvetica" w:eastAsia="Helvetica" w:cs="Helvetica"/>
                <w:i w:val="false"/>
                <w:b w:val="false"/>
                <w:u w:val="none"/>
                <w:sz w:val="22"/>
                <w:szCs w:val="22"/>
                <w:color w:val="0F9115"/>
              </w:rPr>
              <w:t xml:space="preserve">Great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15.766 ± 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D97C11"/>
              </w:rPr>
            </w:pPr>
            <w:r>
              <w:rPr>
                <w:rFonts w:ascii="Helvetica" w:hAnsi="Helvetica" w:eastAsia="Helvetica" w:cs="Helvetica"/>
                <w:i w:val="false"/>
                <w:b w:val="false"/>
                <w:u w:val="none"/>
                <w:sz w:val="22"/>
                <w:szCs w:val="22"/>
                <w:color w:val="D97C11"/>
              </w:rPr>
              <w:t xml:space="preserve">Fair</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0.897 ± 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7.543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4.919 ± 2.185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5/33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F9115"/>
              </w:rPr>
            </w:pPr>
            <w:r>
              <w:rPr>
                <w:rFonts w:ascii="Helvetica" w:hAnsi="Helvetica" w:eastAsia="Helvetica" w:cs="Helvetica"/>
                <w:i w:val="false"/>
                <w:b w:val="true"/>
                <w:u w:val="none"/>
                <w:sz w:val="22"/>
                <w:szCs w:val="22"/>
                <w:color w:val="0F9115"/>
              </w:rPr>
              <w:t xml:space="preserve">Great</w:t>
            </w:r>
          </w:p>
        </w:tc>
      </w:tr>
    </w:tbl>
    <w:p>
      <w:pPr/>
      <w:r>
        <w:br w:type="page"/>
      </w:r>
    </w:p>
    <w:p>
      <w:pPr>
        <w:pStyle w:val="3"/>
      </w:pPr>
      <w:r>
        <w:t xml:space="preserve">Quality Control Metric</w:t>
      </w:r>
    </w:p>
    <w:p>
      <w:pPr>
        <w:pStyle w:val="1"/>
      </w:pPr>
      <w:r>
        <w:t xml:space="preserve">The QC pipeline starts from the expression profiles at peptide/protein levels, and enables to calculate 6 metrics. A Total score is the geometric mean of the linearly normalized values of these metrics.</w:t>
      </w:r>
    </w:p>
    <w:p>
      <w:pPr>
        <w:pStyle w:val="4"/>
      </w:pPr>
      <w:r>
        <w:t xml:space="preserve">Number of features:</w:t>
      </w:r>
    </w:p>
    <w:p>
      <w:pPr>
        <w:pStyle w:val="1"/>
      </w:pPr>
      <w:r>
        <w:t xml:space="preserve">We expect as many proteins (mapped to gene symbols) as possible for downstreaming analyses.</w:t>
      </w:r>
    </w:p>
    <w:p>
      <w:pPr>
        <w:pStyle w:val="4"/>
      </w:pPr>
      <w:r>
        <w:t xml:space="preserve">Missing percentage (%):</w:t>
      </w:r>
    </w:p>
    <w:p>
      <w:pPr>
        <w:pStyle w:val="1"/>
      </w:pPr>
      <w:r>
        <w:t xml:space="preserve">Too many missing values interfere with comparability. This metric is calculated globally.</w:t>
      </w:r>
    </w:p>
    <w:p>
      <w:pPr>
        <w:pStyle w:val="4"/>
      </w:pPr>
      <w:r>
        <w:t xml:space="preserve">Coefficient of variantion (CV %):</w:t>
      </w:r>
    </w:p>
    <w:p>
      <w:pPr>
        <w:pStyle w:val="1"/>
      </w:pPr>
      <w:r>
        <w:t xml:space="preserve">A CV value is calculated to indicate the dispersion within replicates feature by feature.</w:t>
      </w:r>
    </w:p>
    <w:p>
      <w:pPr>
        <w:pStyle w:val="4"/>
      </w:pPr>
      <w:r>
        <w:t xml:space="preserve">Absolute Correlation:</w:t>
      </w:r>
    </w:p>
    <w:p>
      <w:pPr>
        <w:pStyle w:val="1"/>
      </w:pPr>
      <w:r>
        <w:t xml:space="preserve">Pearson correlation reflects overall reproducibility within replicates. We calculate correlation coefficients between each two replicates within each biological sample (D5, D6, F7, M8), and take the median as the final value for absolute correlation.</w:t>
      </w:r>
    </w:p>
    <w:p>
      <w:pPr>
        <w:pStyle w:val="4"/>
      </w:pPr>
      <w:r>
        <w:t xml:space="preserve">Signal-to-Noise Ratio (SNR):</w:t>
      </w:r>
    </w:p>
    <w:p>
      <w:pPr>
        <w:pStyle w:val="1"/>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4"/>
      </w:pPr>
      <w:r>
        <w:t xml:space="preserve">Relative Correlation with Reference Datasets (RC):</w:t>
      </w:r>
    </w:p>
    <w:p>
      <w:pPr>
        <w:pStyle w:val="1"/>
      </w:pPr>
      <w:r>
        <w:t xml:space="preserve">RC is used for assessment of quantitative consistency with the reference dataset at relative levels. For shotgun proteomics, quantitation at peptide levels is theoretically more reliable. Therefore, the reference dataset is established by benchmarking the relative expression values (log2FCs), for each peptide sequence of each sample pair (D5/D6, F7/D6, M8/D6), in historical datasets at peptide levels. We calculate relatively qualified (satisfied with thresholds of p &lt; 0.05) log2FCs of the queried data, for overlapped peptides with the reference dataset, as the input for the assessment of quantitative consistency. Then RC value is Pearson correlation coefficient between the test dataset and the reference dataset.</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r>
        <w:br w:type="page"/>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 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visualize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Tian, S. et al. Quartet protein reference materials and datasets for multi-platform assessment of label-free proteomics. Genome Biology 24, 202 (2023).</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842fa467be13d27c5a24c8d480bba06c33307282.png"/>
<Relationship Id="rId10" Type="http://schemas.openxmlformats.org/officeDocument/2006/relationships/image" Target="media/e31395b991b6a021561dc9e63e2f1238749148a0.png"/>
<Relationship Id="rId11" Type="http://schemas.openxmlformats.org/officeDocument/2006/relationships/image" Target="media/13164a740f3f41d0a838c481daa04d774c4f6d8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2025-12-01T09:11:09Z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