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Transcriptomics</w:t>
      </w:r>
    </w:p>
    <w:p>
      <w:pPr>
        <w:pStyle w:val="2"/>
      </w:pPr>
      <w:r>
        <w:t xml:space="preserve">Summary</w:t>
      </w:r>
    </w:p>
    <w:p>
      <w:pPr>
        <w:pStyle w:val="a"/>
      </w:pPr>
      <w:r>
        <w:t xml:space="preserve"> </w:t>
      </w:r>
    </w:p>
    <w:p>
      <w:pPr>
        <w:pStyle w:val="a"/>
      </w:pPr>
      <w:r>
        <w:t xml:space="preserve">This report summarizes the quality of the data generated from Quartet RNA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QC_metrics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Historical_value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19.505 ± 7.039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D97C11"/>
              </w:rPr>
            </w:pPr>
            <w:r>
              <w:rPr>
                <w:rFonts w:ascii="Helvetica" w:hAnsi="Helvetica" w:eastAsia="Helvetica" w:cs="Helvetica"/>
                <w:i w:val="false"/>
                <w:b w:val="false"/>
                <w:u w:val="none"/>
                <w:sz w:val="22"/>
                <w:szCs w:val="22"/>
                <w:color w:val="D97C11"/>
              </w:rPr>
              <w:t xml:space="preserve">Fair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0.924 ± 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5.603 ± 2.884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2"/>
      </w:pPr>
      <w:r>
        <w:t xml:space="preserve">QC Metrics</w:t>
      </w:r>
    </w:p>
    <w:p>
      <w:pPr>
        <w:pStyle w:val="3"/>
      </w:pPr>
      <w:r>
        <w:t xml:space="preserve">Signal-to-Noise Ratio (SNR):</w:t>
      </w:r>
    </w:p>
    <w:p>
      <w:pPr>
        <w:pStyle w:val="a"/>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3"/>
      </w:pPr>
      <w:r>
        <w:t xml:space="preserve">Relative Correlation with Reference Datasets (RC):</w:t>
      </w:r>
    </w:p>
    <w:p>
      <w:pPr>
        <w:pStyle w:val="a"/>
      </w:pPr>
      <w:r>
        <w:t xml:space="preserve">RC is the Pearson correlation coefficient between the ratios of a test dataset for a given pair of samples and the corresponding ratio-based reference datasets, representing the trend of numerical consistency of the ratio-based expression profiles. To improve reliability, the mean of the three replicates of each sample group was calculated before performing ratio-based expression analysis. Fold changes were transformed using log2 scaling.</w:t>
      </w:r>
    </w:p>
    <w:p>
      <w:pPr>
        <w:pStyle w:val="3"/>
      </w:pPr>
      <w:r>
        <w:t xml:space="preserve">Total Score:</w:t>
      </w:r>
    </w:p>
    <w:p>
      <w:pPr>
        <w:pStyle w:val="a"/>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z w:val="20"/>
          <w:szCs w:val="20"/>
          <w:color w:val="000000"/>
        </w:rPr>
        <w:t xml:space="preserve">· Bad: </w:t>
      </w:r>
      <w:r>
        <w:rPr>
          <w:rFonts w:ascii="Arial" w:hAnsi="Arial" w:eastAsia="Arial" w:cs="Arial"/>
          <w:i w:val="false"/>
          <w:b w:val="false"/>
          <w:u w:val="none"/>
          <w:sz w:val="20"/>
          <w:szCs w:val="20"/>
          <w:color w:val="000000"/>
        </w:rPr>
        <w:t xml:space="preserve">Lowest quintile (0-20th percentile).</w:t>
      </w:r>
    </w:p>
    <w:p>
      <w:pPr>
        <w:pStyle w:val="a"/>
      </w:pPr>
      <w:r>
        <w:rPr>
          <w:rFonts w:ascii="Arial" w:hAnsi="Arial" w:eastAsia="Arial" w:cs="Arial"/>
          <w:i w:val="false"/>
          <w:b w:val="true"/>
          <w:u w:val="none"/>
          <w:sz w:val="20"/>
          <w:szCs w:val="20"/>
          <w:color w:val="000000"/>
        </w:rPr>
        <w:t xml:space="preserve">· Fair: </w:t>
      </w:r>
      <w:r>
        <w:rPr>
          <w:rFonts w:ascii="Arial" w:hAnsi="Arial" w:eastAsia="Arial" w:cs="Arial"/>
          <w:i w:val="false"/>
          <w:b w:val="false"/>
          <w:u w:val="none"/>
          <w:sz w:val="20"/>
          <w:szCs w:val="20"/>
          <w:color w:val="000000"/>
        </w:rPr>
        <w:t xml:space="preserve">Lower middle quartile (21st-50th percentile).</w:t>
      </w:r>
    </w:p>
    <w:p>
      <w:pPr>
        <w:pStyle w:val="a"/>
      </w:pPr>
      <w:r>
        <w:rPr>
          <w:rFonts w:ascii="Arial" w:hAnsi="Arial" w:eastAsia="Arial" w:cs="Arial"/>
          <w:i w:val="false"/>
          <w:b w:val="true"/>
          <w:u w:val="none"/>
          <w:sz w:val="20"/>
          <w:szCs w:val="20"/>
          <w:color w:val="000000"/>
        </w:rPr>
        <w:t xml:space="preserve">· Good: </w:t>
      </w:r>
      <w:r>
        <w:rPr>
          <w:rFonts w:ascii="Arial" w:hAnsi="Arial" w:eastAsia="Arial" w:cs="Arial"/>
          <w:i w:val="false"/>
          <w:b w:val="false"/>
          <w:u w:val="none"/>
          <w:sz w:val="20"/>
          <w:szCs w:val="20"/>
          <w:color w:val="000000"/>
        </w:rPr>
        <w:t xml:space="preserve">Upper middle quartile (51st-80th percentile).</w:t>
      </w:r>
    </w:p>
    <w:p>
      <w:pPr>
        <w:pStyle w:val="a"/>
      </w:pPr>
      <w:r>
        <w:rPr>
          <w:rFonts w:ascii="Arial" w:hAnsi="Arial" w:eastAsia="Arial" w:cs="Arial"/>
          <w:i w:val="false"/>
          <w:b w:val="true"/>
          <w:u w:val="none"/>
          <w:sz w:val="20"/>
          <w:szCs w:val="20"/>
          <w:color w:val="000000"/>
        </w:rPr>
        <w:t xml:space="preserve">· Great: </w:t>
      </w:r>
      <w:r>
        <w:rPr>
          <w:rFonts w:ascii="Arial" w:hAnsi="Arial" w:eastAsia="Arial" w:cs="Arial"/>
          <w:i w:val="false"/>
          <w:b w:val="false"/>
          <w:u w:val="none"/>
          <w:sz w:val="20"/>
          <w:szCs w:val="20"/>
          <w:color w:val="000000"/>
        </w:rPr>
        <w:t xml:space="preserve">Highest quintile (81st-100th percentile).</w:t>
      </w:r>
    </w:p>
    <w:p>
      <w:pPr/>
      <w:r>
        <w:br w:type="page"/>
      </w:r>
    </w:p>
    <w:p>
      <w:pPr>
        <w:pStyle w:val="2"/>
      </w:pPr>
      <w:r>
        <w:t xml:space="preserve">Performance Grade</w:t>
      </w:r>
    </w:p>
    <w:p>
      <w:pPr>
        <w:pStyle w:val="centered"/>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12"/>
                    <a:stretch>
                      <a:fillRect/>
                    </a:stretch>
                  </pic:blipFill>
                  <pic:spPr bwMode="auto">
                    <a:xfrm>
                      <a:off x="0" y="0"/>
                      <a:ext cx="76200" cy="635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QC_test.</w:t>
      </w:r>
    </w:p>
    <w:p>
      <w:pPr/>
      <w:r>
        <w:br w:type="page"/>
      </w:r>
    </w:p>
    <w:p>
      <w:pPr>
        <w:pStyle w:val="2"/>
      </w:pPr>
      <w:r>
        <w:t xml:space="preserve">SNR and RC Performance</w:t>
      </w:r>
    </w:p>
    <w:p>
      <w:pPr>
        <w:pStyle w:val="centered"/>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3"/>
                    <a:stretch>
                      <a:fillRect/>
                    </a:stretch>
                  </pic:blipFill>
                  <pic:spPr bwMode="auto">
                    <a:xfrm>
                      <a:off x="0" y="0"/>
                      <a:ext cx="76200" cy="63500"/>
                    </a:xfrm>
                    <a:prstGeom prst="rect">
                      <a:avLst/>
                    </a:prstGeom>
                    <a:noFill/>
                  </pic:spPr>
                </pic:pic>
              </a:graphicData>
            </a:graphic>
          </wp:inline>
        </w:drawing>
      </w:r>
    </w:p>
    <w:p>
      <w:pPr>
        <w:pStyle w:val="a"/>
      </w:pPr>
      <w:r>
        <w:t xml:space="preserve">Performance metrics and thresholds using Quartet RNA reference materials.</w:t>
      </w:r>
    </w:p>
    <w:p>
      <w:pPr/>
      <w:r>
        <w:br w:type="page"/>
      </w:r>
    </w:p>
    <w:p>
      <w:pPr>
        <w:pStyle w:val="2"/>
      </w:pPr>
      <w:r>
        <w:t xml:space="preserve">Signal-to-Noise Ratio</w:t>
      </w:r>
    </w:p>
    <w:p>
      <w:pPr>
        <w:pStyle w:val="centered"/>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4"/>
                    <a:stretch>
                      <a:fillRect/>
                    </a:stretch>
                  </pic:blipFill>
                  <pic:spPr bwMode="auto">
                    <a:xfrm>
                      <a:off x="0" y="0"/>
                      <a:ext cx="76200" cy="63500"/>
                    </a:xfrm>
                    <a:prstGeom prst="rect">
                      <a:avLst/>
                    </a:prstGeom>
                    <a:noFill/>
                  </pic:spPr>
                </pic:pic>
              </a:graphicData>
            </a:graphic>
          </wp:inline>
        </w:drawing>
      </w:r>
    </w:p>
    <w:p>
      <w:pPr>
        <w:pStyle w:val="a"/>
      </w:pPr>
      <w:r>
        <w:t xml:space="preserve">Signal-to-noise ratio (SNR) is defined as the ratio of the power of a signal to the power of noise.</w:t>
      </w:r>
    </w:p>
    <w:p>
      <w:pPr/>
      <w:r>
        <w:br w:type="page"/>
      </w:r>
    </w:p>
    <w:p>
      <w:pPr>
        <w:pStyle w:val="2"/>
      </w:pPr>
      <w:r>
        <w:t xml:space="preserve">Correlation with Reference Datasets</w:t>
      </w:r>
    </w:p>
    <w:p>
      <w:pPr>
        <w:pStyle w:val="centered"/>
      </w:pPr>
      <w:r>
        <w:rPr/>
        <w:drawing>
          <wp:inline distT="0" distB="0" distL="0" distR="0">
            <wp:extent cx="54864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cstate="print" r:embed="rId15"/>
                    <a:stretch>
                      <a:fillRect/>
                    </a:stretch>
                  </pic:blipFill>
                  <pic:spPr bwMode="auto">
                    <a:xfrm>
                      <a:off x="0" y="0"/>
                      <a:ext cx="76200" cy="63500"/>
                    </a:xfrm>
                    <a:prstGeom prst="rect">
                      <a:avLst/>
                    </a:prstGeom>
                    <a:noFill/>
                  </pic:spPr>
                </pic:pic>
              </a:graphicData>
            </a:graphic>
          </wp:inline>
        </w:drawing>
      </w:r>
    </w:p>
    <w:p>
      <w:pPr>
        <w:pStyle w:val="a"/>
      </w:pPr>
      <w:r>
        <w:t xml:space="preserve">RC was calculate based on the Pearson correlation coefficient between the relative expression levels of a dataset for a given pair of groups and the corresponding reference fold-change values.</w:t>
      </w:r>
    </w:p>
    <w:p>
      <w:pPr/>
      <w:r>
        <w:br w:type="page"/>
      </w:r>
    </w:p>
    <w:p>
      <w:pPr>
        <w:pStyle w:val="2"/>
      </w:pPr>
      <w:r>
        <w:t xml:space="preserve">Supplementary Information</w:t>
      </w:r>
    </w:p>
    <w:p>
      <w:pPr>
        <w:pStyle w:val="3"/>
      </w:pPr>
      <w:r>
        <w:t xml:space="preserve">Reference</w:t>
      </w:r>
    </w:p>
    <w:p>
      <w:pPr>
        <w:pStyle w:val="a"/>
      </w:pPr>
      <w:r>
        <w:t xml:space="preserve">1. Zheng, Y. et al. Multi-omics data integration using ratio-based quantitative profiling with Quartet reference materials. Nature Biotechnology 1–17 (2023).</w:t>
      </w:r>
    </w:p>
    <w:p>
      <w:pPr>
        <w:pStyle w:val="a"/>
      </w:pPr>
      <w:r>
        <w:t xml:space="preserve">2. Yu, Y. et al. Quartet RNA reference materials improve the quality of transcriptomic data through ratio-based profiling. Nature biotechnology 1–15 (2023).</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0f36952181984686fa7e80a101b97077bb2f7321.png"/>
<Relationship Id="rId13" Type="http://schemas.openxmlformats.org/officeDocument/2006/relationships/image" Target="media/d4513b58a00753b6cf3cbc7c2fff6432ada50a29.png"/>
<Relationship Id="rId14" Type="http://schemas.openxmlformats.org/officeDocument/2006/relationships/image" Target="media/eff028620b9e14f8e53781657f160c728a2342a1.png"/>
<Relationship Id="rId15" Type="http://schemas.openxmlformats.org/officeDocument/2006/relationships/image" Target="media/79e380857d7b55e9a191ed6b13a7ad8883092d5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xym</cp:lastModifiedBy>
  <cp:revision>5</cp:revision>
  <dcterms:created xsi:type="dcterms:W3CDTF">2024-01-26T14:44:00Z</dcterms:created>
  <dcterms:modified xsi:type="dcterms:W3CDTF">2025-12-01T08:48:37Z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