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利安人寿“个险代理人赋能”项目进展汇报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基本情况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利安人寿客户简介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利安人寿成立于2011年7月，是江苏省首家全国性法人寿险公司，总部位于南京，在寿险行业中，利安人寿的保费收入在市场排名20-25名。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股东结构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利安人寿的股权结构兼具国有资本与民营活力。公司由多家大型企业共同持股。主要国有股东包括江苏省国际信托有限责任公司（持股22.79%，为第一大股东）、江苏交通控股有限公司等。知名民营股东则有雨润控股集团、红豆集团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对人工智能转型的态度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利安人寿积极拥抱科技变革，将人工智能转型视为重要发展战略。公司明确推行“数字利安”战略，致力于通过技术手段驱动智能、便捷的服务升级。董事长周俊淑提出2026年重点发展人工智能技术，提升运营效率与客户体验的方向。2025年11月利安人寿采购两台华为910B，今年仍会有采购计划。目前科技部和业务部门梳理了十余条AI落地场景，邀请厂商对其中4条业务需求开展方案和演示demo汇报，利安人寿正在进行供应商选型，希望由大厂提供服务，目前在智能体场景与字节、阿里、百度有接触，客服场景与百度有接触。预计2026年利安人寿整体商机在1000万左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双方合作商机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20"/>
        <w:gridCol w:w="1110"/>
        <w:gridCol w:w="2295"/>
        <w:gridCol w:w="855"/>
        <w:gridCol w:w="2475"/>
        <w:gridCol w:w="1125"/>
      </w:tblGrid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#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商机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商机描述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客户预算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当前进展说明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预计落地时间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智能客服（一期）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文字智能客服、语音导航、智能质检系统建设（均为小模型版本）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128万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已申报预算，内部立项中。讯飞协助准备投标及评分材料，客户较倾向讯飞，主要竞对百度、众安、讯智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Q1完成招采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个险代理人赋能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（一期）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围绕个险代理人展业流程的主要环节，基于大模型技术实现辅助提效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280万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（总350万）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已申报预算、完成立项（讯飞协助准备的立项材料），客户较倾向讯飞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Q1完成招采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大模型应用场景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借助多模态识别、智能体等技术辅助人工完成材料审核、比对、合规审查等业务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客户侧需求梳理，准备组织POC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1月立项，2月采购，一期先做四个场景</w:t>
            </w: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智能客服（二期）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智能外呼等系统建设，一期系统的大模型升级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客户已明确智能客服类系统由一家厂商统一建设，一期落地后推进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个险代理人赋能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（二期）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围绕个险代理人展业流程的主要环节，基于大模型技术实现辅助提效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一期项目规划涵盖代理人展业流程的部分环节，二期持续延展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项目需求及价值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项目背景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经营实际需求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利安人寿当前个险代理人群体偏大龄化，40-50 岁年龄段代理人占比偏高，虽经验丰富，但面临激烈的市场竞争难以适应，作业效率低。同时，在未来队伍年轻化过程中，新员工需要通过学习培训快速提升展业技能。因此，衍生个险代理人智能化赋能需求。</w:t>
      </w:r>
      <w:r>
        <w:rPr>
          <w:rFonts w:eastAsia="等线" w:ascii="Arial" w:cs="Arial" w:hAnsi="Arial"/>
          <w:sz w:val="22"/>
        </w:rPr>
        <w:t>同时，客户希望在未来3-4年持续投入，建设代理人的各项AI助手。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标杆建设期望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25年末，江苏区域同业东吴人寿联合腾讯发布“东吴天枢智能体开发平台”及保险智能体场景。利安人寿也希望能在区域打造全流程的大模型项目标杆。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项目进度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决策链：</w:t>
      </w:r>
      <w:r>
        <w:rPr>
          <w:rFonts w:eastAsia="等线" w:ascii="Arial" w:cs="Arial" w:hAnsi="Arial"/>
          <w:sz w:val="22"/>
        </w:rPr>
        <w:t>个险部副总经理-分管副总裁王磊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关键节点：</w:t>
      </w:r>
      <w:r>
        <w:rPr>
          <w:rFonts w:eastAsia="等线" w:ascii="Arial" w:cs="Arial" w:hAnsi="Arial"/>
          <w:sz w:val="22"/>
        </w:rPr>
        <w:t>预算已批复，待立项材料内部通过。立项完成后，由讯飞向分管副总裁汇报整体方案及建设思路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利安人寿300万以上项目必须采用公开招投标，客户提议一期控制在300万内，采用邀标形式。剩余预算在下半年消化。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项目需求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围绕个险代理人展业流程的主要环节，基于大模型技术实现辅助提效。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具体包括以下环节</w:t>
      </w:r>
      <w:r>
        <w:rPr>
          <w:rFonts w:eastAsia="等线" w:ascii="Arial" w:cs="Arial" w:hAnsi="Arial"/>
          <w:b w:val="true"/>
          <w:sz w:val="22"/>
        </w:rPr>
        <w:t>（一期只做</w:t>
      </w:r>
      <w:r>
        <w:rPr>
          <w:rFonts w:eastAsia="等线" w:ascii="Arial" w:cs="Arial" w:hAnsi="Arial"/>
          <w:b w:val="true"/>
          <w:color w:val="d83931"/>
          <w:sz w:val="22"/>
        </w:rPr>
        <w:t>前4个</w:t>
      </w:r>
      <w:r>
        <w:rPr>
          <w:rFonts w:eastAsia="等线" w:ascii="Arial" w:cs="Arial" w:hAnsi="Arial"/>
          <w:b w:val="true"/>
          <w:sz w:val="22"/>
        </w:rPr>
        <w:t>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客户推荐</w:t>
      </w:r>
      <w:r>
        <w:rPr>
          <w:rFonts w:eastAsia="等线" w:ascii="Arial" w:cs="Arial" w:hAnsi="Arial"/>
          <w:sz w:val="22"/>
        </w:rPr>
        <w:t>：针对产品，筛选出适合营销的客户群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面客链接生成</w:t>
      </w:r>
      <w:r>
        <w:rPr>
          <w:rFonts w:eastAsia="等线" w:ascii="Arial" w:cs="Arial" w:hAnsi="Arial"/>
          <w:sz w:val="22"/>
        </w:rPr>
        <w:t>：形成包含邀约目的、时间、地点的面客文本/链接，提升邀约体验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面客演练</w:t>
      </w:r>
      <w:r>
        <w:rPr>
          <w:rFonts w:eastAsia="等线" w:ascii="Arial" w:cs="Arial" w:hAnsi="Arial"/>
          <w:sz w:val="22"/>
        </w:rPr>
        <w:t>：基于客户画像，形成个性化的演练情景，由代理人通过语音交互形式演练面客展业过程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面见记录</w:t>
      </w:r>
      <w:r>
        <w:rPr>
          <w:rFonts w:eastAsia="等线" w:ascii="Arial" w:cs="Arial" w:hAnsi="Arial"/>
          <w:sz w:val="22"/>
        </w:rPr>
        <w:t>：代理人口述面客情况，自动转写并总结生成面客纪要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二次演练：若成交失败，结合客户异议，形成二次展业建议，并针对性演练二次接洽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产品计划书生成：若成功成交，大模型智能生成产品计划书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话术推荐：若成功成交，生成转介绍、增员等拓客话术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项目价值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业务洞察</w:t>
      </w:r>
      <w:r>
        <w:rPr>
          <w:rFonts w:eastAsia="等线" w:ascii="Arial" w:cs="Arial" w:hAnsi="Arial"/>
          <w:sz w:val="22"/>
        </w:rPr>
        <w:t>：了解个险业务营销流程、作业模式及业务痛点，助力部门对保险业务know-how的空白突破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标杆案例</w:t>
      </w:r>
      <w:r>
        <w:rPr>
          <w:rFonts w:eastAsia="等线" w:ascii="Arial" w:cs="Arial" w:hAnsi="Arial"/>
          <w:sz w:val="22"/>
        </w:rPr>
        <w:t>：协同客户共同打造保险行业大模型项目标杆，提升讯飞行业势能，同业复制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广泛合作</w:t>
      </w:r>
      <w:r>
        <w:rPr>
          <w:rFonts w:eastAsia="等线" w:ascii="Arial" w:cs="Arial" w:hAnsi="Arial"/>
          <w:sz w:val="22"/>
        </w:rPr>
        <w:t>：以本项目为契机，与个险部开展更多前中后台营销业务大模型场景建设合作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产粮营收</w:t>
      </w:r>
      <w:r>
        <w:rPr>
          <w:rFonts w:eastAsia="等线" w:ascii="Arial" w:cs="Arial" w:hAnsi="Arial"/>
          <w:sz w:val="22"/>
        </w:rPr>
        <w:t>：一期、二期建设预计</w:t>
      </w:r>
      <w:r>
        <w:rPr>
          <w:rFonts w:eastAsia="等线" w:ascii="Arial" w:cs="Arial" w:hAnsi="Arial"/>
          <w:sz w:val="22"/>
        </w:rPr>
        <w:t>合同额</w:t>
      </w:r>
      <w:r>
        <w:rPr>
          <w:rFonts w:eastAsia="等线" w:ascii="Arial" w:cs="Arial" w:hAnsi="Arial"/>
          <w:sz w:val="22"/>
        </w:rPr>
        <w:t>700</w:t>
      </w:r>
      <w:r>
        <w:rPr>
          <w:rFonts w:eastAsia="等线" w:ascii="Arial" w:cs="Arial" w:hAnsi="Arial"/>
          <w:sz w:val="22"/>
        </w:rPr>
        <w:t>万元，毛利</w:t>
      </w:r>
      <w:r>
        <w:rPr>
          <w:rFonts w:eastAsia="等线" w:ascii="Arial" w:cs="Arial" w:hAnsi="Arial"/>
          <w:sz w:val="22"/>
        </w:rPr>
        <w:t>500</w:t>
      </w:r>
      <w:r>
        <w:rPr>
          <w:rFonts w:eastAsia="等线" w:ascii="Arial" w:cs="Arial" w:hAnsi="Arial"/>
          <w:sz w:val="22"/>
        </w:rPr>
        <w:t>万元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解决方案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整体思路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讯飞总集</w:t>
      </w:r>
      <w:r>
        <w:rPr>
          <w:rFonts w:eastAsia="等线" w:ascii="Arial" w:cs="Arial" w:hAnsi="Arial"/>
          <w:sz w:val="22"/>
        </w:rPr>
        <w:t>，协同客户及生态伙伴，提供系统架构设计、系统开发建设、业务运营的端到端服务。其中：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讯飞承接：系统架构整体设计，以及有成熟产品可对应、或自建有价值的智能化能力，效果运营调优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生态承接：讯飞无对应产品的智能化能力，前端用户界面的定制与系统集成，效果运营调优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客户承接：利安内部信息化系统的定制开发或新建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590"/>
        <w:gridCol w:w="1980"/>
        <w:gridCol w:w="1485"/>
        <w:gridCol w:w="2010"/>
      </w:tblGrid>
      <w:tr>
        <w:tc>
          <w:tcPr>
            <w:tcW w:w="28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主导方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协同方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粗估交付成本量级</w:t>
            </w:r>
          </w:p>
        </w:tc>
      </w:tr>
      <w:tr>
        <w:tc>
          <w:tcPr>
            <w:tcW w:w="28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系统架构设计</w:t>
            </w:r>
          </w:p>
        </w:tc>
        <w:tc>
          <w:tcPr>
            <w:tcW w:w="15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待定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利安科技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系统开发建设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客户推荐模块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待定</w:t>
            </w:r>
          </w:p>
        </w:tc>
        <w:tc>
          <w:tcPr>
            <w:tcW w:w="14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利安科技&amp;业务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面客链接生成模块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讯飞（解决方案部）</w:t>
            </w: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20万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面客演练模块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讯飞（CBG）</w:t>
            </w: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30-40万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面见记录模块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讯飞（解决方案部）</w:t>
            </w:r>
          </w:p>
        </w:tc>
        <w:tc>
          <w:tcPr>
            <w:tcW w:w="14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与面客链接模块共20万</w:t>
            </w:r>
          </w:p>
        </w:tc>
      </w:tr>
      <w:tr>
        <w:tc>
          <w:tcPr>
            <w:tcW w:w="28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效果运营调优</w:t>
            </w:r>
          </w:p>
        </w:tc>
        <w:tc>
          <w:tcPr>
            <w:tcW w:w="15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各功能建设方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利安业务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客户推荐模块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建设标签体系，由客户完成打标，建设客户推荐模型，完成客群筛选。</w:t>
      </w:r>
      <w:r>
        <w:rPr>
          <w:rFonts w:eastAsia="等线" w:ascii="Arial" w:cs="Arial" w:hAnsi="Arial"/>
          <w:b w:val="true"/>
          <w:color w:val="d83931"/>
          <w:sz w:val="22"/>
          <w:u w:val="single"/>
        </w:rPr>
        <w:t>承接方待定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业务咨询</w:t>
      </w:r>
      <w:r>
        <w:rPr>
          <w:rFonts w:eastAsia="等线" w:ascii="Arial" w:cs="Arial" w:hAnsi="Arial"/>
          <w:sz w:val="22"/>
        </w:rPr>
        <w:t>：供应商提供产品标签、客户标签体系建议（客户当前无）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系统改造</w:t>
      </w:r>
      <w:r>
        <w:rPr>
          <w:rFonts w:eastAsia="等线" w:ascii="Arial" w:cs="Arial" w:hAnsi="Arial"/>
          <w:sz w:val="22"/>
        </w:rPr>
        <w:t>：供应商（或利安）在CRM完成前端界面开发及后端数据落表对接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业务打标</w:t>
      </w:r>
      <w:r>
        <w:rPr>
          <w:rFonts w:eastAsia="等线" w:ascii="Arial" w:cs="Arial" w:hAnsi="Arial"/>
          <w:sz w:val="22"/>
        </w:rPr>
        <w:t>：由个险部产品经理、代理人手工对产品、客户打标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推荐建模</w:t>
      </w:r>
      <w:r>
        <w:rPr>
          <w:rFonts w:eastAsia="等线" w:ascii="Arial" w:cs="Arial" w:hAnsi="Arial"/>
          <w:sz w:val="22"/>
        </w:rPr>
        <w:t>：利安提供过往成交业务数据，供应商完成“基于某产品的客群筛选”建模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系统对接</w:t>
      </w:r>
      <w:r>
        <w:rPr>
          <w:rFonts w:eastAsia="等线" w:ascii="Arial" w:cs="Arial" w:hAnsi="Arial"/>
          <w:sz w:val="22"/>
        </w:rPr>
        <w:t>：由供应商开发，产品推荐模块嵌入展业系统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面客链接生成</w:t>
      </w:r>
      <w:r>
        <w:rPr>
          <w:rFonts w:eastAsia="等线" w:ascii="Arial" w:cs="Arial" w:hAnsi="Arial"/>
          <w:b w:val="true"/>
          <w:sz w:val="32"/>
        </w:rPr>
        <w:t>模块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讯飞承接（解决方案部）</w:t>
      </w:r>
      <w:r>
        <w:rPr>
          <w:rFonts w:eastAsia="等线" w:ascii="Arial" w:cs="Arial" w:hAnsi="Arial"/>
          <w:sz w:val="22"/>
        </w:rPr>
        <w:t>。面客链接分为多种形式（具体未定）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文字链接</w:t>
      </w:r>
      <w:r>
        <w:rPr>
          <w:rFonts w:eastAsia="等线" w:ascii="Arial" w:cs="Arial" w:hAnsi="Arial"/>
          <w:sz w:val="22"/>
        </w:rPr>
        <w:t>：以智能体等方式，对接客户内部展业平台，导出客户姓名、面客事项、时间、地点等关键字段，基于标准话术模板，大模型润色形成面客文字，可分享至微信发送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网页链接</w:t>
      </w:r>
      <w:r>
        <w:rPr>
          <w:rFonts w:eastAsia="等线" w:ascii="Arial" w:cs="Arial" w:hAnsi="Arial"/>
          <w:sz w:val="22"/>
        </w:rPr>
        <w:t>：同上一项，生成面客文字；形成专属H5网页链接，可分享至微信发送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图片链接</w:t>
      </w:r>
      <w:r>
        <w:rPr>
          <w:rFonts w:eastAsia="等线" w:ascii="Arial" w:cs="Arial" w:hAnsi="Arial"/>
          <w:sz w:val="22"/>
        </w:rPr>
        <w:t>：由客户完成图片底稿设计，采用类似PPT渲染的方式，将客户姓名、面客事项、时间、地点等关键词在图片固定位置填充（示例如下）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143125" cy="30384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133600" cy="30194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面客演练模块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讯飞承接（CBG）</w:t>
      </w:r>
      <w:r>
        <w:rPr>
          <w:rFonts w:eastAsia="等线" w:ascii="Arial" w:cs="Arial" w:hAnsi="Arial"/>
          <w:sz w:val="22"/>
        </w:rPr>
        <w:t>，基于星火陪练，预配置若干个演练模板（含客户画像、产品选择）、评价标准，根据代理人实际情况选择其一，基于语音交互方式完成陪练，输出评价和建议。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产品部署</w:t>
      </w:r>
      <w:r>
        <w:rPr>
          <w:rFonts w:eastAsia="等线" w:ascii="Arial" w:cs="Arial" w:hAnsi="Arial"/>
          <w:sz w:val="22"/>
        </w:rPr>
        <w:t>：私有化部署星火陪练产品（语音版，不上数字人）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模板预置</w:t>
      </w:r>
      <w:r>
        <w:rPr>
          <w:rFonts w:eastAsia="等线" w:ascii="Arial" w:cs="Arial" w:hAnsi="Arial"/>
          <w:sz w:val="22"/>
        </w:rPr>
        <w:t>：协同利安业务部门，配置客户画像、评价标准，梳理产品知识文档，形成若干陪练模板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系统集成：</w:t>
      </w:r>
      <w:r>
        <w:rPr>
          <w:rFonts w:eastAsia="等线" w:ascii="Arial" w:cs="Arial" w:hAnsi="Arial"/>
          <w:sz w:val="22"/>
        </w:rPr>
        <w:t>数据对接（客户、产品、场景数据对接）、功能定开（结合客户、产品标签适配陪练模板）、与客户代理人APP集成（包括功能入口或页面嵌入）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面见记录模块</w:t>
      </w:r>
      <w:bookmarkEnd w:id="1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讯飞承接（解决方案部）</w:t>
      </w:r>
      <w:r>
        <w:rPr>
          <w:rFonts w:eastAsia="等线" w:ascii="Arial" w:cs="Arial" w:hAnsi="Arial"/>
          <w:sz w:val="22"/>
        </w:rPr>
        <w:t>，基于ASR引擎实现语音录入转写，基于智能会议精品智能体，按照客户给定模板实现总结和要素提取。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产品部署</w:t>
      </w:r>
      <w:r>
        <w:rPr>
          <w:rFonts w:eastAsia="等线" w:ascii="Arial" w:cs="Arial" w:hAnsi="Arial"/>
          <w:sz w:val="22"/>
        </w:rPr>
        <w:t>：部署离线16k ASR引擎（小模型版本）、智能会议智能体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模板配置</w:t>
      </w:r>
      <w:r>
        <w:rPr>
          <w:rFonts w:eastAsia="等线" w:ascii="Arial" w:cs="Arial" w:hAnsi="Arial"/>
          <w:sz w:val="22"/>
        </w:rPr>
        <w:t>：根据利安业务部门要求，配置面见记录模板及关键要素清单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系统集成：</w:t>
      </w:r>
      <w:r>
        <w:rPr>
          <w:rFonts w:eastAsia="等线" w:ascii="Arial" w:cs="Arial" w:hAnsi="Arial"/>
          <w:sz w:val="22"/>
        </w:rPr>
        <w:t>客户科技部门新建面见记录系统，讯飞完成ASR引擎、智能体与面见记录系统对接（包括录音及转写存储、关键要素落表）、与客户代理人APP集成（包括功能入口或页面嵌入）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4、</w:t>
      </w:r>
      <w:r>
        <w:rPr>
          <w:rFonts w:eastAsia="等线" w:ascii="Arial" w:cs="Arial" w:hAnsi="Arial"/>
          <w:b w:val="true"/>
          <w:sz w:val="36"/>
        </w:rPr>
        <w:t>下一步动作及所需支持</w:t>
      </w:r>
      <w:bookmarkEnd w:id="1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下一步动作：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领导决策</w:t>
      </w:r>
      <w:r>
        <w:rPr>
          <w:rFonts w:eastAsia="等线" w:ascii="Arial" w:cs="Arial" w:hAnsi="Arial"/>
          <w:sz w:val="22"/>
        </w:rPr>
        <w:t>：针对整体架构设计、“根据产品推荐客户”（需求1）明确承接方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汇报准备</w:t>
      </w:r>
      <w:r>
        <w:rPr>
          <w:rFonts w:eastAsia="等线" w:ascii="Arial" w:cs="Arial" w:hAnsi="Arial"/>
          <w:sz w:val="22"/>
        </w:rPr>
        <w:t>：客户希望，讯飞能在</w:t>
      </w:r>
      <w:r>
        <w:rPr>
          <w:rFonts w:eastAsia="等线" w:ascii="Arial" w:cs="Arial" w:hAnsi="Arial"/>
          <w:sz w:val="22"/>
        </w:rPr>
        <w:t>1月下旬</w:t>
      </w:r>
      <w:r>
        <w:rPr>
          <w:rFonts w:eastAsia="等线" w:ascii="Arial" w:cs="Arial" w:hAnsi="Arial"/>
          <w:sz w:val="22"/>
        </w:rPr>
        <w:t>，向</w:t>
      </w:r>
      <w:r>
        <w:rPr>
          <w:rFonts w:eastAsia="等线" w:ascii="Arial" w:cs="Arial" w:hAnsi="Arial"/>
          <w:sz w:val="22"/>
        </w:rPr>
        <w:t>分管副总裁王磊</w:t>
      </w:r>
      <w:r>
        <w:rPr>
          <w:rFonts w:eastAsia="等线" w:ascii="Arial" w:cs="Arial" w:hAnsi="Arial"/>
          <w:sz w:val="22"/>
        </w:rPr>
        <w:t>汇报整体方案，获得领导认可。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所需支持：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期望解决方案部支持</w:t>
      </w:r>
      <w:r>
        <w:rPr>
          <w:rFonts w:eastAsia="等线" w:ascii="Arial" w:cs="Arial" w:hAnsi="Arial"/>
          <w:b w:val="true"/>
          <w:sz w:val="22"/>
        </w:rPr>
        <w:t>架构师</w:t>
      </w:r>
      <w:r>
        <w:rPr>
          <w:rFonts w:eastAsia="等线" w:ascii="Arial" w:cs="Arial" w:hAnsi="Arial"/>
          <w:sz w:val="22"/>
        </w:rPr>
        <w:t>，评估初步方案的可行性，协助区域咨询完成客户科技/业务现状的深入调研及系统架构和整体方案的设计。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期望解决方案部支持</w:t>
      </w:r>
      <w:r>
        <w:rPr>
          <w:rFonts w:eastAsia="等线" w:ascii="Arial" w:cs="Arial" w:hAnsi="Arial"/>
          <w:b w:val="true"/>
          <w:sz w:val="22"/>
        </w:rPr>
        <w:t>项目经理/产研资源</w:t>
      </w:r>
      <w:r>
        <w:rPr>
          <w:rFonts w:eastAsia="等线" w:ascii="Arial" w:cs="Arial" w:hAnsi="Arial"/>
          <w:sz w:val="22"/>
        </w:rPr>
        <w:t>，提前介入了解客户方系统现状，协助区域咨询完成投入评估，便于制定概预算。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安人寿已明确在AI方向持续投入，2026年已有700万商机（其中480万讯飞引导）。在客服场景明确后续将上大模型版本，包括数字人、坐席辅助等，在个险代理人赋能场景将持续投入3-4年，在智能体场景科技部重点发力且预算充足，希望由大厂整体服务。希望</w:t>
      </w:r>
      <w:r>
        <w:rPr>
          <w:rFonts w:eastAsia="等线" w:ascii="Arial" w:cs="Arial" w:hAnsi="Arial"/>
          <w:b w:val="true"/>
          <w:sz w:val="22"/>
        </w:rPr>
        <w:t>沈</w:t>
      </w:r>
      <w:r>
        <w:rPr>
          <w:rFonts w:eastAsia="等线" w:ascii="Arial" w:cs="Arial" w:hAnsi="Arial"/>
          <w:b w:val="true"/>
          <w:sz w:val="22"/>
        </w:rPr>
        <w:t>总与利安人寿</w:t>
      </w:r>
      <w:r>
        <w:rPr>
          <w:rFonts w:eastAsia="等线" w:ascii="Arial" w:cs="Arial" w:hAnsi="Arial"/>
          <w:b w:val="true"/>
          <w:sz w:val="22"/>
        </w:rPr>
        <w:t>董事长</w:t>
      </w:r>
      <w:r>
        <w:rPr>
          <w:rFonts w:eastAsia="等线" w:ascii="Arial" w:cs="Arial" w:hAnsi="Arial"/>
          <w:b w:val="true"/>
          <w:sz w:val="22"/>
        </w:rPr>
        <w:t>会晤</w:t>
      </w:r>
      <w:r>
        <w:rPr>
          <w:rFonts w:eastAsia="等线" w:ascii="Arial" w:cs="Arial" w:hAnsi="Arial"/>
          <w:sz w:val="22"/>
        </w:rPr>
        <w:t>，提升合作层级。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283">
    <w:lvl>
      <w:numFmt w:val="bullet"/>
      <w:suff w:val="tab"/>
      <w:lvlText w:val="•"/>
      <w:rPr>
        <w:color w:val="3370ff"/>
      </w:rPr>
    </w:lvl>
  </w:abstractNum>
  <w:abstractNum w:abstractNumId="44284">
    <w:lvl>
      <w:numFmt w:val="bullet"/>
      <w:suff w:val="tab"/>
      <w:lvlText w:val="•"/>
      <w:rPr>
        <w:color w:val="3370ff"/>
      </w:rPr>
    </w:lvl>
  </w:abstractNum>
  <w:abstractNum w:abstractNumId="44285">
    <w:lvl>
      <w:numFmt w:val="bullet"/>
      <w:suff w:val="tab"/>
      <w:lvlText w:val="•"/>
      <w:rPr>
        <w:color w:val="3370ff"/>
      </w:rPr>
    </w:lvl>
  </w:abstractNum>
  <w:abstractNum w:abstractNumId="44286">
    <w:lvl>
      <w:numFmt w:val="bullet"/>
      <w:suff w:val="tab"/>
      <w:lvlText w:val="•"/>
      <w:rPr>
        <w:color w:val="3370ff"/>
      </w:rPr>
    </w:lvl>
  </w:abstractNum>
  <w:abstractNum w:abstractNumId="44287">
    <w:lvl>
      <w:numFmt w:val="bullet"/>
      <w:suff w:val="tab"/>
      <w:lvlText w:val="•"/>
      <w:rPr>
        <w:color w:val="3370ff"/>
      </w:rPr>
    </w:lvl>
  </w:abstractNum>
  <w:abstractNum w:abstractNumId="44288">
    <w:lvl>
      <w:start w:val="1"/>
      <w:numFmt w:val="decimal"/>
      <w:suff w:val="tab"/>
      <w:lvlText w:val="%1."/>
      <w:rPr>
        <w:color w:val="3370ff"/>
      </w:rPr>
    </w:lvl>
  </w:abstractNum>
  <w:abstractNum w:abstractNumId="44289">
    <w:lvl>
      <w:start w:val="2"/>
      <w:numFmt w:val="decimal"/>
      <w:suff w:val="tab"/>
      <w:lvlText w:val="%1."/>
      <w:rPr>
        <w:color w:val="3370ff"/>
      </w:rPr>
    </w:lvl>
  </w:abstractNum>
  <w:abstractNum w:abstractNumId="44290">
    <w:lvl>
      <w:start w:val="3"/>
      <w:numFmt w:val="decimal"/>
      <w:suff w:val="tab"/>
      <w:lvlText w:val="%1."/>
      <w:rPr>
        <w:color w:val="3370ff"/>
      </w:rPr>
    </w:lvl>
  </w:abstractNum>
  <w:abstractNum w:abstractNumId="44291">
    <w:lvl>
      <w:start w:val="4"/>
      <w:numFmt w:val="decimal"/>
      <w:suff w:val="tab"/>
      <w:lvlText w:val="%1."/>
      <w:rPr>
        <w:color w:val="3370ff"/>
      </w:rPr>
    </w:lvl>
  </w:abstractNum>
  <w:abstractNum w:abstractNumId="44292">
    <w:lvl>
      <w:start w:val="5"/>
      <w:numFmt w:val="decimal"/>
      <w:suff w:val="tab"/>
      <w:lvlText w:val="%1."/>
      <w:rPr>
        <w:color w:val="3370ff"/>
      </w:rPr>
    </w:lvl>
  </w:abstractNum>
  <w:abstractNum w:abstractNumId="44293">
    <w:lvl>
      <w:start w:val="6"/>
      <w:numFmt w:val="decimal"/>
      <w:suff w:val="tab"/>
      <w:lvlText w:val="%1."/>
      <w:rPr>
        <w:color w:val="3370ff"/>
      </w:rPr>
    </w:lvl>
  </w:abstractNum>
  <w:abstractNum w:abstractNumId="44294">
    <w:lvl>
      <w:start w:val="7"/>
      <w:numFmt w:val="decimal"/>
      <w:suff w:val="tab"/>
      <w:lvlText w:val="%1."/>
      <w:rPr>
        <w:color w:val="3370ff"/>
      </w:rPr>
    </w:lvl>
  </w:abstractNum>
  <w:abstractNum w:abstractNumId="44295">
    <w:lvl>
      <w:start w:val="1"/>
      <w:numFmt w:val="decimal"/>
      <w:suff w:val="tab"/>
      <w:lvlText w:val="%1."/>
      <w:rPr>
        <w:color w:val="3370ff"/>
      </w:rPr>
    </w:lvl>
  </w:abstractNum>
  <w:abstractNum w:abstractNumId="44296">
    <w:lvl>
      <w:start w:val="2"/>
      <w:numFmt w:val="decimal"/>
      <w:suff w:val="tab"/>
      <w:lvlText w:val="%1."/>
      <w:rPr>
        <w:color w:val="3370ff"/>
      </w:rPr>
    </w:lvl>
  </w:abstractNum>
  <w:abstractNum w:abstractNumId="44297">
    <w:lvl>
      <w:start w:val="3"/>
      <w:numFmt w:val="decimal"/>
      <w:suff w:val="tab"/>
      <w:lvlText w:val="%1."/>
      <w:rPr>
        <w:color w:val="3370ff"/>
      </w:rPr>
    </w:lvl>
  </w:abstractNum>
  <w:abstractNum w:abstractNumId="44298">
    <w:lvl>
      <w:start w:val="4"/>
      <w:numFmt w:val="decimal"/>
      <w:suff w:val="tab"/>
      <w:lvlText w:val="%1."/>
      <w:rPr>
        <w:color w:val="3370ff"/>
      </w:rPr>
    </w:lvl>
  </w:abstractNum>
  <w:abstractNum w:abstractNumId="44299">
    <w:lvl>
      <w:numFmt w:val="bullet"/>
      <w:suff w:val="tab"/>
      <w:lvlText w:val="•"/>
      <w:rPr>
        <w:color w:val="3370ff"/>
      </w:rPr>
    </w:lvl>
  </w:abstractNum>
  <w:abstractNum w:abstractNumId="44300">
    <w:lvl>
      <w:numFmt w:val="bullet"/>
      <w:suff w:val="tab"/>
      <w:lvlText w:val="•"/>
      <w:rPr>
        <w:color w:val="3370ff"/>
      </w:rPr>
    </w:lvl>
  </w:abstractNum>
  <w:abstractNum w:abstractNumId="44301">
    <w:lvl>
      <w:numFmt w:val="bullet"/>
      <w:suff w:val="tab"/>
      <w:lvlText w:val="•"/>
      <w:rPr>
        <w:color w:val="3370ff"/>
      </w:rPr>
    </w:lvl>
  </w:abstractNum>
  <w:abstractNum w:abstractNumId="44302">
    <w:lvl>
      <w:start w:val="1"/>
      <w:numFmt w:val="decimal"/>
      <w:suff w:val="tab"/>
      <w:lvlText w:val="%1."/>
      <w:rPr>
        <w:color w:val="3370ff"/>
      </w:rPr>
    </w:lvl>
  </w:abstractNum>
  <w:abstractNum w:abstractNumId="44303">
    <w:lvl>
      <w:start w:val="2"/>
      <w:numFmt w:val="decimal"/>
      <w:suff w:val="tab"/>
      <w:lvlText w:val="%1."/>
      <w:rPr>
        <w:color w:val="3370ff"/>
      </w:rPr>
    </w:lvl>
  </w:abstractNum>
  <w:abstractNum w:abstractNumId="44304">
    <w:lvl>
      <w:start w:val="3"/>
      <w:numFmt w:val="decimal"/>
      <w:suff w:val="tab"/>
      <w:lvlText w:val="%1."/>
      <w:rPr>
        <w:color w:val="3370ff"/>
      </w:rPr>
    </w:lvl>
  </w:abstractNum>
  <w:abstractNum w:abstractNumId="44305">
    <w:lvl>
      <w:start w:val="4"/>
      <w:numFmt w:val="decimal"/>
      <w:suff w:val="tab"/>
      <w:lvlText w:val="%1."/>
      <w:rPr>
        <w:color w:val="3370ff"/>
      </w:rPr>
    </w:lvl>
  </w:abstractNum>
  <w:abstractNum w:abstractNumId="44306">
    <w:lvl>
      <w:start w:val="5"/>
      <w:numFmt w:val="decimal"/>
      <w:suff w:val="tab"/>
      <w:lvlText w:val="%1."/>
      <w:rPr>
        <w:color w:val="3370ff"/>
      </w:rPr>
    </w:lvl>
  </w:abstractNum>
  <w:abstractNum w:abstractNumId="44307">
    <w:lvl>
      <w:start w:val="1"/>
      <w:numFmt w:val="decimal"/>
      <w:suff w:val="tab"/>
      <w:lvlText w:val="%1."/>
      <w:rPr>
        <w:color w:val="3370ff"/>
      </w:rPr>
    </w:lvl>
  </w:abstractNum>
  <w:abstractNum w:abstractNumId="44308">
    <w:lvl>
      <w:start w:val="2"/>
      <w:numFmt w:val="decimal"/>
      <w:suff w:val="tab"/>
      <w:lvlText w:val="%1."/>
      <w:rPr>
        <w:color w:val="3370ff"/>
      </w:rPr>
    </w:lvl>
  </w:abstractNum>
  <w:abstractNum w:abstractNumId="44309">
    <w:lvl>
      <w:start w:val="3"/>
      <w:numFmt w:val="decimal"/>
      <w:suff w:val="tab"/>
      <w:lvlText w:val="%1."/>
      <w:rPr>
        <w:color w:val="3370ff"/>
      </w:rPr>
    </w:lvl>
  </w:abstractNum>
  <w:abstractNum w:abstractNumId="44310">
    <w:lvl>
      <w:start w:val="1"/>
      <w:numFmt w:val="decimal"/>
      <w:suff w:val="tab"/>
      <w:lvlText w:val="%1."/>
      <w:rPr>
        <w:color w:val="3370ff"/>
      </w:rPr>
    </w:lvl>
  </w:abstractNum>
  <w:abstractNum w:abstractNumId="44311">
    <w:lvl>
      <w:start w:val="2"/>
      <w:numFmt w:val="decimal"/>
      <w:suff w:val="tab"/>
      <w:lvlText w:val="%1."/>
      <w:rPr>
        <w:color w:val="3370ff"/>
      </w:rPr>
    </w:lvl>
  </w:abstractNum>
  <w:abstractNum w:abstractNumId="44312">
    <w:lvl>
      <w:start w:val="3"/>
      <w:numFmt w:val="decimal"/>
      <w:suff w:val="tab"/>
      <w:lvlText w:val="%1."/>
      <w:rPr>
        <w:color w:val="3370ff"/>
      </w:rPr>
    </w:lvl>
  </w:abstractNum>
  <w:abstractNum w:abstractNumId="44313">
    <w:lvl>
      <w:start w:val="1"/>
      <w:numFmt w:val="decimal"/>
      <w:suff w:val="tab"/>
      <w:lvlText w:val="%1."/>
      <w:rPr>
        <w:color w:val="3370ff"/>
      </w:rPr>
    </w:lvl>
  </w:abstractNum>
  <w:abstractNum w:abstractNumId="44314">
    <w:lvl>
      <w:start w:val="2"/>
      <w:numFmt w:val="decimal"/>
      <w:suff w:val="tab"/>
      <w:lvlText w:val="%1."/>
      <w:rPr>
        <w:color w:val="3370ff"/>
      </w:rPr>
    </w:lvl>
  </w:abstractNum>
  <w:abstractNum w:abstractNumId="44315">
    <w:lvl>
      <w:start w:val="3"/>
      <w:numFmt w:val="decimal"/>
      <w:suff w:val="tab"/>
      <w:lvlText w:val="%1."/>
      <w:rPr>
        <w:color w:val="3370ff"/>
      </w:rPr>
    </w:lvl>
  </w:abstractNum>
  <w:abstractNum w:abstractNumId="44316">
    <w:lvl>
      <w:numFmt w:val="bullet"/>
      <w:suff w:val="tab"/>
      <w:lvlText w:val="•"/>
      <w:rPr>
        <w:color w:val="3370ff"/>
      </w:rPr>
    </w:lvl>
  </w:abstractNum>
  <w:abstractNum w:abstractNumId="44317">
    <w:lvl>
      <w:numFmt w:val="bullet"/>
      <w:suff w:val="tab"/>
      <w:lvlText w:val="￮"/>
      <w:rPr>
        <w:color w:val="3370ff"/>
      </w:rPr>
    </w:lvl>
  </w:abstractNum>
  <w:abstractNum w:abstractNumId="44318">
    <w:lvl>
      <w:numFmt w:val="bullet"/>
      <w:suff w:val="tab"/>
      <w:lvlText w:val="￮"/>
      <w:rPr>
        <w:color w:val="3370ff"/>
      </w:rPr>
    </w:lvl>
  </w:abstractNum>
  <w:abstractNum w:abstractNumId="44319">
    <w:lvl>
      <w:numFmt w:val="bullet"/>
      <w:suff w:val="tab"/>
      <w:lvlText w:val="•"/>
      <w:rPr>
        <w:color w:val="3370ff"/>
      </w:rPr>
    </w:lvl>
  </w:abstractNum>
  <w:abstractNum w:abstractNumId="44320">
    <w:lvl>
      <w:numFmt w:val="bullet"/>
      <w:suff w:val="tab"/>
      <w:lvlText w:val="￮"/>
      <w:rPr>
        <w:color w:val="3370ff"/>
      </w:rPr>
    </w:lvl>
  </w:abstractNum>
  <w:abstractNum w:abstractNumId="44321">
    <w:lvl>
      <w:numFmt w:val="bullet"/>
      <w:suff w:val="tab"/>
      <w:lvlText w:val="￮"/>
      <w:rPr>
        <w:color w:val="3370ff"/>
      </w:rPr>
    </w:lvl>
  </w:abstractNum>
  <w:abstractNum w:abstractNumId="44322">
    <w:lvl>
      <w:numFmt w:val="bullet"/>
      <w:suff w:val="tab"/>
      <w:lvlText w:val="￮"/>
      <w:rPr>
        <w:color w:val="3370ff"/>
      </w:rPr>
    </w:lvl>
  </w:abstractNum>
  <w:num w:numId="1">
    <w:abstractNumId w:val="44283"/>
  </w:num>
  <w:num w:numId="2">
    <w:abstractNumId w:val="44284"/>
  </w:num>
  <w:num w:numId="3">
    <w:abstractNumId w:val="44285"/>
  </w:num>
  <w:num w:numId="4">
    <w:abstractNumId w:val="44286"/>
  </w:num>
  <w:num w:numId="5">
    <w:abstractNumId w:val="44287"/>
  </w:num>
  <w:num w:numId="6">
    <w:abstractNumId w:val="44288"/>
  </w:num>
  <w:num w:numId="7">
    <w:abstractNumId w:val="44289"/>
  </w:num>
  <w:num w:numId="8">
    <w:abstractNumId w:val="44290"/>
  </w:num>
  <w:num w:numId="9">
    <w:abstractNumId w:val="44291"/>
  </w:num>
  <w:num w:numId="10">
    <w:abstractNumId w:val="44292"/>
  </w:num>
  <w:num w:numId="11">
    <w:abstractNumId w:val="44293"/>
  </w:num>
  <w:num w:numId="12">
    <w:abstractNumId w:val="44294"/>
  </w:num>
  <w:num w:numId="13">
    <w:abstractNumId w:val="44295"/>
  </w:num>
  <w:num w:numId="14">
    <w:abstractNumId w:val="44296"/>
  </w:num>
  <w:num w:numId="15">
    <w:abstractNumId w:val="44297"/>
  </w:num>
  <w:num w:numId="16">
    <w:abstractNumId w:val="44298"/>
  </w:num>
  <w:num w:numId="17">
    <w:abstractNumId w:val="44299"/>
  </w:num>
  <w:num w:numId="18">
    <w:abstractNumId w:val="44300"/>
  </w:num>
  <w:num w:numId="19">
    <w:abstractNumId w:val="44301"/>
  </w:num>
  <w:num w:numId="20">
    <w:abstractNumId w:val="44302"/>
  </w:num>
  <w:num w:numId="21">
    <w:abstractNumId w:val="44303"/>
  </w:num>
  <w:num w:numId="22">
    <w:abstractNumId w:val="44304"/>
  </w:num>
  <w:num w:numId="23">
    <w:abstractNumId w:val="44305"/>
  </w:num>
  <w:num w:numId="24">
    <w:abstractNumId w:val="44306"/>
  </w:num>
  <w:num w:numId="25">
    <w:abstractNumId w:val="44307"/>
  </w:num>
  <w:num w:numId="26">
    <w:abstractNumId w:val="44308"/>
  </w:num>
  <w:num w:numId="27">
    <w:abstractNumId w:val="44309"/>
  </w:num>
  <w:num w:numId="28">
    <w:abstractNumId w:val="44310"/>
  </w:num>
  <w:num w:numId="29">
    <w:abstractNumId w:val="44311"/>
  </w:num>
  <w:num w:numId="30">
    <w:abstractNumId w:val="44312"/>
  </w:num>
  <w:num w:numId="31">
    <w:abstractNumId w:val="44313"/>
  </w:num>
  <w:num w:numId="32">
    <w:abstractNumId w:val="44314"/>
  </w:num>
  <w:num w:numId="33">
    <w:abstractNumId w:val="44315"/>
  </w:num>
  <w:num w:numId="34">
    <w:abstractNumId w:val="44316"/>
  </w:num>
  <w:num w:numId="35">
    <w:abstractNumId w:val="44317"/>
  </w:num>
  <w:num w:numId="36">
    <w:abstractNumId w:val="44318"/>
  </w:num>
  <w:num w:numId="37">
    <w:abstractNumId w:val="44319"/>
  </w:num>
  <w:num w:numId="38">
    <w:abstractNumId w:val="44320"/>
  </w:num>
  <w:num w:numId="39">
    <w:abstractNumId w:val="44321"/>
  </w:num>
  <w:num w:numId="40">
    <w:abstractNumId w:val="443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2026-01-21T08:46:40Z</dcterms:created>
  <dc:creator>Apache POI</dc:creator>
</cp:coreProperties>
</file>