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2E4057"/>
          <w:sz w:val="36"/>
        </w:rPr>
        <w:t>Utility Tree: NovelHub</w:t>
      </w:r>
    </w:p>
    <w:p/>
    <w:p>
      <w:pPr>
        <w:jc w:val="center"/>
      </w:pPr>
      <w:r>
        <w:rPr>
          <w:rFonts w:ascii="Calibri" w:hAnsi="Calibri"/>
          <w:b w:val="0"/>
          <w:i w:val="0"/>
          <w:color w:val="555555"/>
          <w:sz w:val="22"/>
        </w:rPr>
        <w:t>Vietnamese Novel Reading Platform  ·  v1.0  ·  17 May 2026</w:t>
      </w:r>
    </w:p>
    <w:p/>
    <w:p>
      <w:r>
        <w:rPr>
          <w:rFonts w:ascii="Calibri" w:hAnsi="Calibri"/>
          <w:b/>
          <w:i w:val="0"/>
          <w:sz w:val="20"/>
        </w:rPr>
        <w:t xml:space="preserve">Business Value / Technical Risk:  </w:t>
      </w:r>
      <w:r>
        <w:rPr>
          <w:rFonts w:ascii="Calibri" w:hAnsi="Calibri"/>
          <w:b w:val="0"/>
          <w:i w:val="0"/>
          <w:sz w:val="20"/>
        </w:rPr>
        <w:t xml:space="preserve">H = High   </w:t>
      </w:r>
      <w:r>
        <w:rPr>
          <w:rFonts w:ascii="Calibri" w:hAnsi="Calibri"/>
          <w:b w:val="0"/>
          <w:i w:val="0"/>
          <w:sz w:val="20"/>
        </w:rPr>
        <w:t xml:space="preserve">M = Medium   </w:t>
      </w:r>
      <w:r>
        <w:rPr>
          <w:rFonts w:ascii="Calibri" w:hAnsi="Calibri"/>
          <w:b w:val="0"/>
          <w:i w:val="0"/>
          <w:sz w:val="20"/>
        </w:rPr>
        <w:t>L = Low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rHeight w:val="793" w:hRule="atLeast"/>
        </w:trPr>
        <w:tc>
          <w:tcPr>
            <w:tcW w:type="dxa" w:w="1814"/>
            <w:shd w:val="clear" w:color="auto" w:fill="2E405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Level 1:</w:t>
              <w:br/>
              <w:t>Quality</w:t>
              <w:br/>
              <w:t>Attribute</w:t>
            </w:r>
          </w:p>
        </w:tc>
        <w:tc>
          <w:tcPr>
            <w:tcW w:type="dxa" w:w="1814"/>
            <w:shd w:val="clear" w:color="auto" w:fill="2E405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Level 2:</w:t>
              <w:br/>
              <w:t>Attribute</w:t>
              <w:br/>
              <w:t>Refinement</w:t>
            </w:r>
          </w:p>
        </w:tc>
        <w:tc>
          <w:tcPr>
            <w:tcW w:type="dxa" w:w="5216"/>
            <w:shd w:val="clear" w:color="auto" w:fill="2E405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Level 3:</w:t>
              <w:br/>
              <w:t>Scenario</w:t>
              <w:br/>
              <w:t>(Derived from Use Cases)</w:t>
            </w:r>
          </w:p>
        </w:tc>
        <w:tc>
          <w:tcPr>
            <w:tcW w:type="dxa" w:w="1247"/>
            <w:shd w:val="clear" w:color="auto" w:fill="2E405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Business</w:t>
              <w:br/>
              <w:t>Value</w:t>
            </w:r>
          </w:p>
        </w:tc>
        <w:tc>
          <w:tcPr>
            <w:tcW w:type="dxa" w:w="1247"/>
            <w:shd w:val="clear" w:color="auto" w:fill="2E4057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Technical</w:t>
              <w:br/>
              <w:t>Risk</w:t>
            </w:r>
          </w:p>
        </w:tc>
      </w:tr>
      <w:tr>
        <w:trPr>
          <w:trHeight w:val="907" w:hRule="atLeast"/>
        </w:trPr>
        <w:tc>
          <w:tcPr>
            <w:tcW w:type="dxa" w:w="1814"/>
            <w:vMerge w:val="restart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Security</w:t>
            </w:r>
          </w:p>
        </w:tc>
        <w:tc>
          <w:tcPr>
            <w:tcW w:type="dxa" w:w="1814"/>
            <w:shd w:val="clear" w:color="auto" w:fill="EEF2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  <w:br/>
              <w:t>Confidentiality</w:t>
            </w:r>
          </w:p>
        </w:tc>
        <w:tc>
          <w:tcPr>
            <w:tcW w:type="dxa" w:w="52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User registers an account; password must be hashed with bcrypt (cost ≥ 12) before storage. Session cookie is HTTP-only, Secure, and SameSite=Lax — never readable by client-side JavaScript. (UC-01, UC-02)</w:t>
            </w:r>
          </w:p>
        </w:tc>
        <w:tc>
          <w:tcPr>
            <w:tcW w:type="dxa" w:w="1247"/>
            <w:shd w:val="clear" w:color="auto" w:fill="C6EFC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H</w:t>
            </w:r>
          </w:p>
        </w:tc>
        <w:tc>
          <w:tcPr>
            <w:tcW w:type="dxa" w:w="1247"/>
            <w:shd w:val="clear" w:color="auto" w:fill="FFEB9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M</w:t>
            </w:r>
          </w:p>
        </w:tc>
      </w:tr>
      <w:tr>
        <w:trPr>
          <w:trHeight w:val="907" w:hRule="atLeast"/>
        </w:trPr>
        <w:tc>
          <w:tcPr>
            <w:tcW w:type="dxa" w:w="1814"/>
            <w:vMerge/>
            <w:shd w:val="clear" w:color="auto" w:fill="D9E1F2"/>
            <w:vAlign w:val="center"/>
          </w:tcPr>
          <w:p>
            <w:pPr>
              <w:jc w:val="left"/>
            </w:pPr>
          </w:p>
        </w:tc>
        <w:tc>
          <w:tcPr>
            <w:tcW w:type="dxa" w:w="1814"/>
            <w:shd w:val="clear" w:color="auto" w:fill="EEF2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Authentication</w:t>
            </w:r>
          </w:p>
        </w:tc>
        <w:tc>
          <w:tcPr>
            <w:tcW w:type="dxa" w:w="5216"/>
            <w:shd w:val="clear" w:color="auto" w:fill="F8F9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User signs in; system rate-limits to 10 failed attempts per IP per 15 minutes. Lockout prevents brute-force without disclosing which field was wrong (same error for unknown email and wrong password). (UC-02)</w:t>
            </w:r>
          </w:p>
        </w:tc>
        <w:tc>
          <w:tcPr>
            <w:tcW w:type="dxa" w:w="1247"/>
            <w:shd w:val="clear" w:color="auto" w:fill="C6EFC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H</w:t>
            </w:r>
          </w:p>
        </w:tc>
        <w:tc>
          <w:tcPr>
            <w:tcW w:type="dxa" w:w="1247"/>
            <w:shd w:val="clear" w:color="auto" w:fill="FFEB9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M</w:t>
            </w:r>
          </w:p>
        </w:tc>
      </w:tr>
      <w:tr>
        <w:trPr>
          <w:trHeight w:val="907" w:hRule="atLeast"/>
        </w:trPr>
        <w:tc>
          <w:tcPr>
            <w:tcW w:type="dxa" w:w="1814"/>
            <w:vMerge/>
            <w:shd w:val="clear" w:color="auto" w:fill="D9E1F2"/>
            <w:vAlign w:val="center"/>
          </w:tcPr>
          <w:p>
            <w:pPr>
              <w:jc w:val="left"/>
            </w:pPr>
          </w:p>
        </w:tc>
        <w:tc>
          <w:tcPr>
            <w:tcW w:type="dxa" w:w="1814"/>
            <w:shd w:val="clear" w:color="auto" w:fill="EEF2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Authorization</w:t>
            </w:r>
          </w:p>
        </w:tc>
        <w:tc>
          <w:tcPr>
            <w:tcW w:type="dxa" w:w="52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Reader directly requests /admin or /curator route; system reads role from the database session on every request — never from a cookie or client header — and returns HTTP 403 without revealing page content. (UC-21, UC-22, UC-23)</w:t>
            </w:r>
          </w:p>
        </w:tc>
        <w:tc>
          <w:tcPr>
            <w:tcW w:type="dxa" w:w="1247"/>
            <w:shd w:val="clear" w:color="auto" w:fill="C6EFC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H</w:t>
            </w:r>
          </w:p>
        </w:tc>
        <w:tc>
          <w:tcPr>
            <w:tcW w:type="dxa" w:w="1247"/>
            <w:shd w:val="clear" w:color="auto" w:fill="FFEB9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M</w:t>
            </w:r>
          </w:p>
        </w:tc>
      </w:tr>
      <w:tr>
        <w:trPr>
          <w:trHeight w:val="907" w:hRule="atLeast"/>
        </w:trPr>
        <w:tc>
          <w:tcPr>
            <w:tcW w:type="dxa" w:w="1814"/>
            <w:vMerge/>
            <w:shd w:val="clear" w:color="auto" w:fill="D9E1F2"/>
            <w:vAlign w:val="center"/>
          </w:tcPr>
          <w:p>
            <w:pPr>
              <w:jc w:val="left"/>
            </w:pPr>
          </w:p>
        </w:tc>
        <w:tc>
          <w:tcPr>
            <w:tcW w:type="dxa" w:w="1814"/>
            <w:shd w:val="clear" w:color="auto" w:fill="EEF2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VIP Content</w:t>
              <w:br/>
              <w:t>Protection</w:t>
            </w:r>
          </w:p>
        </w:tc>
        <w:tc>
          <w:tcPr>
            <w:tcW w:type="dxa" w:w="5216"/>
            <w:shd w:val="clear" w:color="auto" w:fill="F8F9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Reader crafts a direct URL to a VIP chapter without paying; server strips content before responding — content is never hidden via CSS. The response payload contains an empty string, not the chapter body. (UC-10, UC-18)</w:t>
            </w:r>
          </w:p>
        </w:tc>
        <w:tc>
          <w:tcPr>
            <w:tcW w:type="dxa" w:w="1247"/>
            <w:shd w:val="clear" w:color="auto" w:fill="C6EFC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H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H</w:t>
            </w:r>
          </w:p>
        </w:tc>
      </w:tr>
      <w:tr>
        <w:trPr>
          <w:trHeight w:val="907" w:hRule="atLeast"/>
        </w:trPr>
        <w:tc>
          <w:tcPr>
            <w:tcW w:type="dxa" w:w="1814"/>
            <w:vMerge/>
            <w:shd w:val="clear" w:color="auto" w:fill="D9E1F2"/>
            <w:vAlign w:val="center"/>
          </w:tcPr>
          <w:p>
            <w:pPr>
              <w:jc w:val="left"/>
            </w:pPr>
          </w:p>
        </w:tc>
        <w:tc>
          <w:tcPr>
            <w:tcW w:type="dxa" w:w="1814"/>
            <w:shd w:val="clear" w:color="auto" w:fill="EEF2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Payment</w:t>
              <w:br/>
              <w:t>Webhook Integrity</w:t>
            </w:r>
          </w:p>
        </w:tc>
        <w:tc>
          <w:tcPr>
            <w:tcW w:type="dxa" w:w="52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MoMo sends a callback to /api/payments/momo/webhook; system verifies HMAC-SHA256 signature with the MoMo secret key before any DB write. Invalid signatures → HTTP 400 and an audit log entry. (UC-17)</w:t>
            </w:r>
          </w:p>
        </w:tc>
        <w:tc>
          <w:tcPr>
            <w:tcW w:type="dxa" w:w="1247"/>
            <w:shd w:val="clear" w:color="auto" w:fill="C6EFC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H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H</w:t>
            </w:r>
          </w:p>
        </w:tc>
      </w:tr>
      <w:tr>
        <w:trPr>
          <w:trHeight w:val="907" w:hRule="atLeast"/>
        </w:trPr>
        <w:tc>
          <w:tcPr>
            <w:tcW w:type="dxa" w:w="1814"/>
            <w:vMerge w:val="restart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Reliability</w:t>
            </w:r>
          </w:p>
        </w:tc>
        <w:tc>
          <w:tcPr>
            <w:tcW w:type="dxa" w:w="1814"/>
            <w:shd w:val="clear" w:color="auto" w:fill="EEF2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Payment</w:t>
              <w:br/>
              <w:t>Correctness</w:t>
            </w:r>
          </w:p>
        </w:tc>
        <w:tc>
          <w:tcPr>
            <w:tcW w:type="dxa" w:w="5216"/>
            <w:shd w:val="clear" w:color="auto" w:fill="F8F9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MoMo retries the same success webhook for orderId X; system detects the existing COMPLETED payment record and returns HTTP 200 without re-crediting coins. Idempotency enforced by unique orderId check before transaction begins. (UC-17)</w:t>
            </w:r>
          </w:p>
        </w:tc>
        <w:tc>
          <w:tcPr>
            <w:tcW w:type="dxa" w:w="1247"/>
            <w:shd w:val="clear" w:color="auto" w:fill="C6EFC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H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H</w:t>
            </w:r>
          </w:p>
        </w:tc>
      </w:tr>
      <w:tr>
        <w:trPr>
          <w:trHeight w:val="907" w:hRule="atLeast"/>
        </w:trPr>
        <w:tc>
          <w:tcPr>
            <w:tcW w:type="dxa" w:w="1814"/>
            <w:vMerge/>
            <w:shd w:val="clear" w:color="auto" w:fill="D9E1F2"/>
            <w:vAlign w:val="center"/>
          </w:tcPr>
          <w:p>
            <w:pPr>
              <w:jc w:val="left"/>
            </w:pPr>
          </w:p>
        </w:tc>
        <w:tc>
          <w:tcPr>
            <w:tcW w:type="dxa" w:w="1814"/>
            <w:shd w:val="clear" w:color="auto" w:fill="EEF2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Coin Ledger</w:t>
              <w:br/>
              <w:t>Atomicity</w:t>
            </w:r>
          </w:p>
        </w:tc>
        <w:tc>
          <w:tcPr>
            <w:tcW w:type="dxa" w:w="52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Reader unlocks a VIP chapter; coin deduction, chapter_unlocks insert, and coin_transactions entry succeed together or all roll back in a single DB transaction — no partial coin loss or double unlock. (UC-18)</w:t>
            </w:r>
          </w:p>
        </w:tc>
        <w:tc>
          <w:tcPr>
            <w:tcW w:type="dxa" w:w="1247"/>
            <w:shd w:val="clear" w:color="auto" w:fill="C6EFC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H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H</w:t>
            </w:r>
          </w:p>
        </w:tc>
      </w:tr>
      <w:tr>
        <w:trPr>
          <w:trHeight w:val="907" w:hRule="atLeast"/>
        </w:trPr>
        <w:tc>
          <w:tcPr>
            <w:tcW w:type="dxa" w:w="1814"/>
            <w:vMerge/>
            <w:shd w:val="clear" w:color="auto" w:fill="D9E1F2"/>
            <w:vAlign w:val="center"/>
          </w:tcPr>
          <w:p>
            <w:pPr>
              <w:jc w:val="left"/>
            </w:pPr>
          </w:p>
        </w:tc>
        <w:tc>
          <w:tcPr>
            <w:tcW w:type="dxa" w:w="1814"/>
            <w:shd w:val="clear" w:color="auto" w:fill="EEF2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Search</w:t>
              <w:br/>
              <w:t>Fallback</w:t>
            </w:r>
          </w:p>
        </w:tc>
        <w:tc>
          <w:tcPr>
            <w:tcW w:type="dxa" w:w="5216"/>
            <w:shd w:val="clear" w:color="auto" w:fill="F8F9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Meilisearch becomes unavailable during peak traffic; system detects the failure within 200 ms and falls back to PostgreSQL ILIKE search on the title field — reader sees results, not an error page. (UC-07)</w:t>
            </w:r>
          </w:p>
        </w:tc>
        <w:tc>
          <w:tcPr>
            <w:tcW w:type="dxa" w:w="1247"/>
            <w:shd w:val="clear" w:color="auto" w:fill="FFEB9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M</w:t>
            </w:r>
          </w:p>
        </w:tc>
        <w:tc>
          <w:tcPr>
            <w:tcW w:type="dxa" w:w="1247"/>
            <w:shd w:val="clear" w:color="auto" w:fill="FFEB9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M</w:t>
            </w:r>
          </w:p>
        </w:tc>
      </w:tr>
      <w:tr>
        <w:trPr>
          <w:trHeight w:val="907" w:hRule="atLeast"/>
        </w:trPr>
        <w:tc>
          <w:tcPr>
            <w:tcW w:type="dxa" w:w="1814"/>
            <w:vMerge/>
            <w:shd w:val="clear" w:color="auto" w:fill="D9E1F2"/>
            <w:vAlign w:val="center"/>
          </w:tcPr>
          <w:p>
            <w:pPr>
              <w:jc w:val="left"/>
            </w:pPr>
          </w:p>
        </w:tc>
        <w:tc>
          <w:tcPr>
            <w:tcW w:type="dxa" w:w="1814"/>
            <w:shd w:val="clear" w:color="auto" w:fill="EEF2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Session</w:t>
              <w:br/>
              <w:t>Expiry Handling</w:t>
            </w:r>
          </w:p>
        </w:tc>
        <w:tc>
          <w:tcPr>
            <w:tcW w:type="dxa" w:w="52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Reader's session expires while browsing; middleware redirects gracefully to /sign-in?callbackURL=&lt;current page&gt; — no white screen, no data corruption, and the reader returns to the same page after re-authenticating. (UC-02, UC-04)</w:t>
            </w:r>
          </w:p>
        </w:tc>
        <w:tc>
          <w:tcPr>
            <w:tcW w:type="dxa" w:w="1247"/>
            <w:shd w:val="clear" w:color="auto" w:fill="FFEB9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M</w:t>
            </w:r>
          </w:p>
        </w:tc>
        <w:tc>
          <w:tcPr>
            <w:tcW w:type="dxa" w:w="1247"/>
            <w:shd w:val="clear" w:color="auto" w:fill="C6EFC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L</w:t>
            </w:r>
          </w:p>
        </w:tc>
      </w:tr>
      <w:tr>
        <w:trPr>
          <w:trHeight w:val="907" w:hRule="atLeast"/>
        </w:trPr>
        <w:tc>
          <w:tcPr>
            <w:tcW w:type="dxa" w:w="1814"/>
            <w:vMerge w:val="restart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Performance</w:t>
            </w:r>
          </w:p>
        </w:tc>
        <w:tc>
          <w:tcPr>
            <w:tcW w:type="dxa" w:w="1814"/>
            <w:shd w:val="clear" w:color="auto" w:fill="EEF2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Chapter Read</w:t>
              <w:br/>
              <w:t>Latency</w:t>
            </w:r>
          </w:p>
        </w:tc>
        <w:tc>
          <w:tcPr>
            <w:tcW w:type="dxa" w:w="5216"/>
            <w:shd w:val="clear" w:color="auto" w:fill="F8F9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Reader opens a published (free or already-unlocked) chapter during normal traffic; full page content is server-side rendered; P95 server response time is under 1 second. VIP access check is included in this budget. (UC-10)</w:t>
            </w:r>
          </w:p>
        </w:tc>
        <w:tc>
          <w:tcPr>
            <w:tcW w:type="dxa" w:w="1247"/>
            <w:shd w:val="clear" w:color="auto" w:fill="C6EFC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H</w:t>
            </w:r>
          </w:p>
        </w:tc>
        <w:tc>
          <w:tcPr>
            <w:tcW w:type="dxa" w:w="1247"/>
            <w:shd w:val="clear" w:color="auto" w:fill="FFEB9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M</w:t>
            </w:r>
          </w:p>
        </w:tc>
      </w:tr>
      <w:tr>
        <w:trPr>
          <w:trHeight w:val="907" w:hRule="atLeast"/>
        </w:trPr>
        <w:tc>
          <w:tcPr>
            <w:tcW w:type="dxa" w:w="1814"/>
            <w:vMerge/>
            <w:shd w:val="clear" w:color="auto" w:fill="D9E1F2"/>
            <w:vAlign w:val="center"/>
          </w:tcPr>
          <w:p>
            <w:pPr>
              <w:jc w:val="left"/>
            </w:pPr>
          </w:p>
        </w:tc>
        <w:tc>
          <w:tcPr>
            <w:tcW w:type="dxa" w:w="1814"/>
            <w:shd w:val="clear" w:color="auto" w:fill="EEF2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Home Page LCP</w:t>
            </w:r>
          </w:p>
        </w:tc>
        <w:tc>
          <w:tcPr>
            <w:tcW w:type="dxa" w:w="52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First-time visitor loads the home page on a 4G mobile device; Largest Contentful Paint (LCP) must be under 2.5 seconds. Featured novel covers are served via Cloudinary CDN with WebP auto-format and priority hints.</w:t>
            </w:r>
          </w:p>
        </w:tc>
        <w:tc>
          <w:tcPr>
            <w:tcW w:type="dxa" w:w="1247"/>
            <w:shd w:val="clear" w:color="auto" w:fill="C6EFC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H</w:t>
            </w:r>
          </w:p>
        </w:tc>
        <w:tc>
          <w:tcPr>
            <w:tcW w:type="dxa" w:w="1247"/>
            <w:shd w:val="clear" w:color="auto" w:fill="FFEB9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M</w:t>
            </w:r>
          </w:p>
        </w:tc>
      </w:tr>
      <w:tr>
        <w:trPr>
          <w:trHeight w:val="907" w:hRule="atLeast"/>
        </w:trPr>
        <w:tc>
          <w:tcPr>
            <w:tcW w:type="dxa" w:w="1814"/>
            <w:vMerge/>
            <w:shd w:val="clear" w:color="auto" w:fill="D9E1F2"/>
            <w:vAlign w:val="center"/>
          </w:tcPr>
          <w:p>
            <w:pPr>
              <w:jc w:val="left"/>
            </w:pPr>
          </w:p>
        </w:tc>
        <w:tc>
          <w:tcPr>
            <w:tcW w:type="dxa" w:w="1814"/>
            <w:shd w:val="clear" w:color="auto" w:fill="EEF2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Search</w:t>
              <w:br/>
              <w:t>Response Time</w:t>
            </w:r>
          </w:p>
        </w:tc>
        <w:tc>
          <w:tcPr>
            <w:tcW w:type="dxa" w:w="5216"/>
            <w:shd w:val="clear" w:color="auto" w:fill="F8F9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Reader types a search query; Meilisearch returns ranked, typo-tolerant results for the P95 case in under 200 ms. The 300 ms client-side debounce ensures requests are not sent on every keystroke. (UC-07)</w:t>
            </w:r>
          </w:p>
        </w:tc>
        <w:tc>
          <w:tcPr>
            <w:tcW w:type="dxa" w:w="1247"/>
            <w:shd w:val="clear" w:color="auto" w:fill="FFEB9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M</w:t>
            </w:r>
          </w:p>
        </w:tc>
        <w:tc>
          <w:tcPr>
            <w:tcW w:type="dxa" w:w="1247"/>
            <w:shd w:val="clear" w:color="auto" w:fill="FFEB9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M</w:t>
            </w:r>
          </w:p>
        </w:tc>
      </w:tr>
      <w:tr>
        <w:trPr>
          <w:trHeight w:val="907" w:hRule="atLeast"/>
        </w:trPr>
        <w:tc>
          <w:tcPr>
            <w:tcW w:type="dxa" w:w="1814"/>
            <w:vMerge/>
            <w:shd w:val="clear" w:color="auto" w:fill="D9E1F2"/>
            <w:vAlign w:val="center"/>
          </w:tcPr>
          <w:p>
            <w:pPr>
              <w:jc w:val="left"/>
            </w:pPr>
          </w:p>
        </w:tc>
        <w:tc>
          <w:tcPr>
            <w:tcW w:type="dxa" w:w="1814"/>
            <w:shd w:val="clear" w:color="auto" w:fill="EEF2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Asset Delivery</w:t>
            </w:r>
          </w:p>
        </w:tc>
        <w:tc>
          <w:tcPr>
            <w:tcW w:type="dxa" w:w="52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Reader browses the novel list; cover images served by Cloudinary CDN with WebP auto-format and responsive sizes load in under 1 second on a 4G connection. Cloudflare edge caches static assets globally.</w:t>
            </w:r>
          </w:p>
        </w:tc>
        <w:tc>
          <w:tcPr>
            <w:tcW w:type="dxa" w:w="1247"/>
            <w:shd w:val="clear" w:color="auto" w:fill="FFEB9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M</w:t>
            </w:r>
          </w:p>
        </w:tc>
        <w:tc>
          <w:tcPr>
            <w:tcW w:type="dxa" w:w="1247"/>
            <w:shd w:val="clear" w:color="auto" w:fill="C6EFC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L</w:t>
            </w:r>
          </w:p>
        </w:tc>
      </w:tr>
      <w:tr>
        <w:trPr>
          <w:trHeight w:val="907" w:hRule="atLeast"/>
        </w:trPr>
        <w:tc>
          <w:tcPr>
            <w:tcW w:type="dxa" w:w="1814"/>
            <w:vMerge w:val="restart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Usability</w:t>
            </w:r>
          </w:p>
        </w:tc>
        <w:tc>
          <w:tcPr>
            <w:tcW w:type="dxa" w:w="1814"/>
            <w:shd w:val="clear" w:color="auto" w:fill="EEF2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Search Typo</w:t>
              <w:br/>
              <w:t>Tolerance</w:t>
            </w:r>
          </w:p>
        </w:tc>
        <w:tc>
          <w:tcPr>
            <w:tcW w:type="dxa" w:w="5216"/>
            <w:shd w:val="clear" w:color="auto" w:fill="F8F9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Reader searches for a novel title with a 1–2 character typo; Meilisearch returns the correct novel without requiring an exact match. Default typo tolerance is enabled for all titles longer than 8 characters. (UC-07)</w:t>
            </w:r>
          </w:p>
        </w:tc>
        <w:tc>
          <w:tcPr>
            <w:tcW w:type="dxa" w:w="1247"/>
            <w:shd w:val="clear" w:color="auto" w:fill="FFEB9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M</w:t>
            </w:r>
          </w:p>
        </w:tc>
        <w:tc>
          <w:tcPr>
            <w:tcW w:type="dxa" w:w="1247"/>
            <w:shd w:val="clear" w:color="auto" w:fill="FFEB9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M</w:t>
            </w:r>
          </w:p>
        </w:tc>
      </w:tr>
      <w:tr>
        <w:trPr>
          <w:trHeight w:val="907" w:hRule="atLeast"/>
        </w:trPr>
        <w:tc>
          <w:tcPr>
            <w:tcW w:type="dxa" w:w="1814"/>
            <w:vMerge/>
            <w:shd w:val="clear" w:color="auto" w:fill="D9E1F2"/>
            <w:vAlign w:val="center"/>
          </w:tcPr>
          <w:p>
            <w:pPr>
              <w:jc w:val="left"/>
            </w:pPr>
          </w:p>
        </w:tc>
        <w:tc>
          <w:tcPr>
            <w:tcW w:type="dxa" w:w="1814"/>
            <w:shd w:val="clear" w:color="auto" w:fill="EEF2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Reader</w:t>
              <w:br/>
              <w:t>Customization</w:t>
            </w:r>
          </w:p>
        </w:tc>
        <w:tc>
          <w:tcPr>
            <w:tcW w:type="dxa" w:w="52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Reader adjusts font family (Serif/Sans), font size (14–26 px), line height (1.4–2.2×), content width (480–900 px), and theme (Sáng/Tối/Đêm) in the settings sheet; changes apply in real-time with no page reload and persist in localStorage on the next visit. (UC-11)</w:t>
            </w:r>
          </w:p>
        </w:tc>
        <w:tc>
          <w:tcPr>
            <w:tcW w:type="dxa" w:w="1247"/>
            <w:shd w:val="clear" w:color="auto" w:fill="C6EFC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H</w:t>
            </w:r>
          </w:p>
        </w:tc>
        <w:tc>
          <w:tcPr>
            <w:tcW w:type="dxa" w:w="1247"/>
            <w:shd w:val="clear" w:color="auto" w:fill="C6EFC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L</w:t>
            </w:r>
          </w:p>
        </w:tc>
      </w:tr>
      <w:tr>
        <w:trPr>
          <w:trHeight w:val="907" w:hRule="atLeast"/>
        </w:trPr>
        <w:tc>
          <w:tcPr>
            <w:tcW w:type="dxa" w:w="1814"/>
            <w:vMerge/>
            <w:shd w:val="clear" w:color="auto" w:fill="D9E1F2"/>
            <w:vAlign w:val="center"/>
          </w:tcPr>
          <w:p>
            <w:pPr>
              <w:jc w:val="left"/>
            </w:pPr>
          </w:p>
        </w:tc>
        <w:tc>
          <w:tcPr>
            <w:tcW w:type="dxa" w:w="1814"/>
            <w:shd w:val="clear" w:color="auto" w:fill="EEF2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Mobile Reading</w:t>
              <w:br/>
              <w:t>Experience</w:t>
            </w:r>
          </w:p>
        </w:tc>
        <w:tc>
          <w:tcPr>
            <w:tcW w:type="dxa" w:w="5216"/>
            <w:shd w:val="clear" w:color="auto" w:fill="F8F9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Reader opens the chapter reader on a 375 px wide mobile device; content is readable without horizontal scrolling; fixed top and bottom bars do not permanently obscure text; touch swipe between chapters is intuitive.</w:t>
            </w:r>
          </w:p>
        </w:tc>
        <w:tc>
          <w:tcPr>
            <w:tcW w:type="dxa" w:w="1247"/>
            <w:shd w:val="clear" w:color="auto" w:fill="C6EFC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H</w:t>
            </w:r>
          </w:p>
        </w:tc>
        <w:tc>
          <w:tcPr>
            <w:tcW w:type="dxa" w:w="1247"/>
            <w:shd w:val="clear" w:color="auto" w:fill="FFEB9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M</w:t>
            </w:r>
          </w:p>
        </w:tc>
      </w:tr>
      <w:tr>
        <w:trPr>
          <w:trHeight w:val="907" w:hRule="atLeast"/>
        </w:trPr>
        <w:tc>
          <w:tcPr>
            <w:tcW w:type="dxa" w:w="1814"/>
            <w:vMerge/>
            <w:shd w:val="clear" w:color="auto" w:fill="D9E1F2"/>
            <w:vAlign w:val="center"/>
          </w:tcPr>
          <w:p>
            <w:pPr>
              <w:jc w:val="left"/>
            </w:pPr>
          </w:p>
        </w:tc>
        <w:tc>
          <w:tcPr>
            <w:tcW w:type="dxa" w:w="1814"/>
            <w:shd w:val="clear" w:color="auto" w:fill="EEF2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URL-Driven</w:t>
              <w:br/>
              <w:t>Filters</w:t>
            </w:r>
          </w:p>
        </w:tc>
        <w:tc>
          <w:tcPr>
            <w:tcW w:type="dxa" w:w="52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Reader applies a genre filter and status filter on /novels; the resulting URL encodes the active filter state so the filtered view can be bookmarked, shared, and restored on reload without any additional interaction. (UC-06, UC-08)</w:t>
            </w:r>
          </w:p>
        </w:tc>
        <w:tc>
          <w:tcPr>
            <w:tcW w:type="dxa" w:w="1247"/>
            <w:shd w:val="clear" w:color="auto" w:fill="FFEB9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M</w:t>
            </w:r>
          </w:p>
        </w:tc>
        <w:tc>
          <w:tcPr>
            <w:tcW w:type="dxa" w:w="1247"/>
            <w:shd w:val="clear" w:color="auto" w:fill="C6EFC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L</w:t>
            </w:r>
          </w:p>
        </w:tc>
      </w:tr>
      <w:tr>
        <w:trPr>
          <w:trHeight w:val="907" w:hRule="atLeast"/>
        </w:trPr>
        <w:tc>
          <w:tcPr>
            <w:tcW w:type="dxa" w:w="1814"/>
            <w:vMerge w:val="restart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Maintainability</w:t>
            </w:r>
          </w:p>
        </w:tc>
        <w:tc>
          <w:tcPr>
            <w:tcW w:type="dxa" w:w="1814"/>
            <w:shd w:val="clear" w:color="auto" w:fill="EEF2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Solo</w:t>
              <w:br/>
              <w:t>Deployability</w:t>
            </w:r>
          </w:p>
        </w:tc>
        <w:tc>
          <w:tcPr>
            <w:tcW w:type="dxa" w:w="5216"/>
            <w:shd w:val="clear" w:color="auto" w:fill="F8F9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A single developer merges a feature branch to main; Vercel detects the push and auto-deploys the Next.js build with zero manual server steps and no self-hosted infrastructure to manage. PR preview deployments are created automatically.</w:t>
            </w:r>
          </w:p>
        </w:tc>
        <w:tc>
          <w:tcPr>
            <w:tcW w:type="dxa" w:w="1247"/>
            <w:shd w:val="clear" w:color="auto" w:fill="C6EFC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H</w:t>
            </w:r>
          </w:p>
        </w:tc>
        <w:tc>
          <w:tcPr>
            <w:tcW w:type="dxa" w:w="1247"/>
            <w:shd w:val="clear" w:color="auto" w:fill="C6EFC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L</w:t>
            </w:r>
          </w:p>
        </w:tc>
      </w:tr>
      <w:tr>
        <w:trPr>
          <w:trHeight w:val="907" w:hRule="atLeast"/>
        </w:trPr>
        <w:tc>
          <w:tcPr>
            <w:tcW w:type="dxa" w:w="1814"/>
            <w:vMerge/>
            <w:shd w:val="clear" w:color="auto" w:fill="D9E1F2"/>
            <w:vAlign w:val="center"/>
          </w:tcPr>
          <w:p>
            <w:pPr>
              <w:jc w:val="left"/>
            </w:pPr>
          </w:p>
        </w:tc>
        <w:tc>
          <w:tcPr>
            <w:tcW w:type="dxa" w:w="1814"/>
            <w:shd w:val="clear" w:color="auto" w:fill="EEF2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Module</w:t>
              <w:br/>
              <w:t>Isolation</w:t>
            </w:r>
          </w:p>
        </w:tc>
        <w:tc>
          <w:tcPr>
            <w:tcW w:type="dxa" w:w="52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Developer adds the community module (comments, reviews); it calls only exported service functions from content and auth modules — no direct cross-module DB queries. Violations are caught by import-path linting rules.</w:t>
            </w:r>
          </w:p>
        </w:tc>
        <w:tc>
          <w:tcPr>
            <w:tcW w:type="dxa" w:w="1247"/>
            <w:shd w:val="clear" w:color="auto" w:fill="FFEB9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M</w:t>
            </w:r>
          </w:p>
        </w:tc>
        <w:tc>
          <w:tcPr>
            <w:tcW w:type="dxa" w:w="1247"/>
            <w:shd w:val="clear" w:color="auto" w:fill="FFEB9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M</w:t>
            </w:r>
          </w:p>
        </w:tc>
      </w:tr>
      <w:tr>
        <w:trPr>
          <w:trHeight w:val="907" w:hRule="atLeast"/>
        </w:trPr>
        <w:tc>
          <w:tcPr>
            <w:tcW w:type="dxa" w:w="1814"/>
            <w:vMerge/>
            <w:shd w:val="clear" w:color="auto" w:fill="D9E1F2"/>
            <w:vAlign w:val="center"/>
          </w:tcPr>
          <w:p>
            <w:pPr>
              <w:jc w:val="left"/>
            </w:pPr>
          </w:p>
        </w:tc>
        <w:tc>
          <w:tcPr>
            <w:tcW w:type="dxa" w:w="1814"/>
            <w:shd w:val="clear" w:color="auto" w:fill="EEF2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Non-Destructive</w:t>
              <w:br/>
              <w:t>Migrations</w:t>
            </w:r>
          </w:p>
        </w:tc>
        <w:tc>
          <w:tcPr>
            <w:tcW w:type="dxa" w:w="5216"/>
            <w:shd w:val="clear" w:color="auto" w:fill="F8F9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Developer adds a nullable column to novels via pnpm db:push; migration runs on Neon serverless without table locking or reader-visible downtime. Rollback is possible by reverting the schema and re-pushing.</w:t>
            </w:r>
          </w:p>
        </w:tc>
        <w:tc>
          <w:tcPr>
            <w:tcW w:type="dxa" w:w="1247"/>
            <w:shd w:val="clear" w:color="auto" w:fill="FFEB9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M</w:t>
            </w:r>
          </w:p>
        </w:tc>
        <w:tc>
          <w:tcPr>
            <w:tcW w:type="dxa" w:w="1247"/>
            <w:shd w:val="clear" w:color="auto" w:fill="FFEB9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M</w:t>
            </w:r>
          </w:p>
        </w:tc>
      </w:tr>
      <w:tr>
        <w:trPr>
          <w:trHeight w:val="907" w:hRule="atLeast"/>
        </w:trPr>
        <w:tc>
          <w:tcPr>
            <w:tcW w:type="dxa" w:w="1814"/>
            <w:vMerge w:val="restart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SEO</w:t>
            </w:r>
          </w:p>
        </w:tc>
        <w:tc>
          <w:tcPr>
            <w:tcW w:type="dxa" w:w="1814"/>
            <w:shd w:val="clear" w:color="auto" w:fill="EEF2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SSR</w:t>
              <w:br/>
              <w:t>Indexability</w:t>
            </w:r>
          </w:p>
        </w:tc>
        <w:tc>
          <w:tcPr>
            <w:tcW w:type="dxa" w:w="52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Search engine crawler visits /novels/[slug]; the full page HTML — including novel title, synopsis, structured data (JSON-LD Book schema), Open Graph tags, and canonical URL — is present in the initial response without executing JavaScript. (UC-09)</w:t>
            </w:r>
          </w:p>
        </w:tc>
        <w:tc>
          <w:tcPr>
            <w:tcW w:type="dxa" w:w="1247"/>
            <w:shd w:val="clear" w:color="auto" w:fill="C6EFC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H</w:t>
            </w:r>
          </w:p>
        </w:tc>
        <w:tc>
          <w:tcPr>
            <w:tcW w:type="dxa" w:w="1247"/>
            <w:shd w:val="clear" w:color="auto" w:fill="FFEB9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M</w:t>
            </w:r>
          </w:p>
        </w:tc>
      </w:tr>
      <w:tr>
        <w:trPr>
          <w:trHeight w:val="907" w:hRule="atLeast"/>
        </w:trPr>
        <w:tc>
          <w:tcPr>
            <w:tcW w:type="dxa" w:w="1814"/>
            <w:vMerge/>
            <w:shd w:val="clear" w:color="auto" w:fill="D9E1F2"/>
            <w:vAlign w:val="center"/>
          </w:tcPr>
          <w:p>
            <w:pPr>
              <w:jc w:val="left"/>
            </w:pPr>
          </w:p>
        </w:tc>
        <w:tc>
          <w:tcPr>
            <w:tcW w:type="dxa" w:w="1814"/>
            <w:shd w:val="clear" w:color="auto" w:fill="EEF2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Canonical URL</w:t>
              <w:br/>
              <w:t>Enforcement</w:t>
            </w:r>
          </w:p>
        </w:tc>
        <w:tc>
          <w:tcPr>
            <w:tcW w:type="dxa" w:w="5216"/>
            <w:shd w:val="clear" w:color="auto" w:fill="F8F9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Reader applies multiple filter combinations to /novels (genre + status + sort); each unique result set has exactly one canonical URL; alternate permutations include rel=canonical pointing to the primary URL to prevent duplicate content indexing. (UC-06)</w:t>
            </w:r>
          </w:p>
        </w:tc>
        <w:tc>
          <w:tcPr>
            <w:tcW w:type="dxa" w:w="1247"/>
            <w:shd w:val="clear" w:color="auto" w:fill="FFEB9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M</w:t>
            </w:r>
          </w:p>
        </w:tc>
        <w:tc>
          <w:tcPr>
            <w:tcW w:type="dxa" w:w="1247"/>
            <w:shd w:val="clear" w:color="auto" w:fill="C6EFC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L</w:t>
            </w:r>
          </w:p>
        </w:tc>
      </w:tr>
      <w:tr>
        <w:trPr>
          <w:trHeight w:val="907" w:hRule="atLeast"/>
        </w:trPr>
        <w:tc>
          <w:tcPr>
            <w:tcW w:type="dxa" w:w="1814"/>
            <w:vMerge w:val="restart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Auditability</w:t>
            </w:r>
          </w:p>
        </w:tc>
        <w:tc>
          <w:tcPr>
            <w:tcW w:type="dxa" w:w="1814"/>
            <w:shd w:val="clear" w:color="auto" w:fill="EEF2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Admin Action</w:t>
              <w:br/>
              <w:t>Logging</w:t>
            </w:r>
          </w:p>
        </w:tc>
        <w:tc>
          <w:tcPr>
            <w:tcW w:type="dxa" w:w="52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Admin promotes a reader to curator or bans a user account; an audit_logs record is written atomically with the role change — fields: adminId, action, targetType, targetId, metadata (JSON), createdAt. Audit rows are insert-only and cannot be deleted. (UC-23)</w:t>
            </w:r>
          </w:p>
        </w:tc>
        <w:tc>
          <w:tcPr>
            <w:tcW w:type="dxa" w:w="1247"/>
            <w:shd w:val="clear" w:color="auto" w:fill="C6EFC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H</w:t>
            </w:r>
          </w:p>
        </w:tc>
        <w:tc>
          <w:tcPr>
            <w:tcW w:type="dxa" w:w="1247"/>
            <w:shd w:val="clear" w:color="auto" w:fill="C6EFC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L</w:t>
            </w:r>
          </w:p>
        </w:tc>
      </w:tr>
      <w:tr>
        <w:trPr>
          <w:trHeight w:val="907" w:hRule="atLeast"/>
        </w:trPr>
        <w:tc>
          <w:tcPr>
            <w:tcW w:type="dxa" w:w="1814"/>
            <w:vMerge/>
            <w:shd w:val="clear" w:color="auto" w:fill="D9E1F2"/>
            <w:vAlign w:val="center"/>
          </w:tcPr>
          <w:p>
            <w:pPr>
              <w:jc w:val="left"/>
            </w:pPr>
          </w:p>
        </w:tc>
        <w:tc>
          <w:tcPr>
            <w:tcW w:type="dxa" w:w="1814"/>
            <w:shd w:val="clear" w:color="auto" w:fill="EEF2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Moderation</w:t>
              <w:br/>
              <w:t>Traceability</w:t>
            </w:r>
          </w:p>
        </w:tc>
        <w:tc>
          <w:tcPr>
            <w:tcW w:type="dxa" w:w="5216"/>
            <w:shd w:val="clear" w:color="auto" w:fill="F8F9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Admin deletes a reported comment or review; the audit log entry records which admin, which content object, and the exact timestamp — enabling review of every moderation decision after the fact. (UC-16, UC-23)</w:t>
            </w:r>
          </w:p>
        </w:tc>
        <w:tc>
          <w:tcPr>
            <w:tcW w:type="dxa" w:w="1247"/>
            <w:shd w:val="clear" w:color="auto" w:fill="FFEB9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M</w:t>
            </w:r>
          </w:p>
        </w:tc>
        <w:tc>
          <w:tcPr>
            <w:tcW w:type="dxa" w:w="1247"/>
            <w:shd w:val="clear" w:color="auto" w:fill="C6EFC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L</w:t>
            </w:r>
          </w:p>
        </w:tc>
      </w:tr>
      <w:tr>
        <w:trPr>
          <w:trHeight w:val="907" w:hRule="atLeast"/>
        </w:trPr>
        <w:tc>
          <w:tcPr>
            <w:tcW w:type="dxa" w:w="1814"/>
            <w:vMerge/>
            <w:shd w:val="clear" w:color="auto" w:fill="D9E1F2"/>
            <w:vAlign w:val="center"/>
          </w:tcPr>
          <w:p>
            <w:pPr>
              <w:jc w:val="left"/>
            </w:pPr>
          </w:p>
        </w:tc>
        <w:tc>
          <w:tcPr>
            <w:tcW w:type="dxa" w:w="1814"/>
            <w:shd w:val="clear" w:color="auto" w:fill="EEF2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Coin Transaction</w:t>
              <w:br/>
              <w:t>Ledger</w:t>
            </w:r>
          </w:p>
        </w:tc>
        <w:tc>
          <w:tcPr>
            <w:tcW w:type="dxa" w:w="52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Reader purchases a coin package or unlocks a VIP chapter; a coin_transactions row (type = CREDIT or DEBIT, amount, description, createdAt) is written in the same DB transaction as the balance change — every balance mutation has a corresponding ledger entry for financial reconciliation. (UC-17, UC-18)</w:t>
            </w:r>
          </w:p>
        </w:tc>
        <w:tc>
          <w:tcPr>
            <w:tcW w:type="dxa" w:w="1247"/>
            <w:shd w:val="clear" w:color="auto" w:fill="C6EFC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H</w:t>
            </w:r>
          </w:p>
        </w:tc>
        <w:tc>
          <w:tcPr>
            <w:tcW w:type="dxa" w:w="1247"/>
            <w:shd w:val="clear" w:color="auto" w:fill="FFEB9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M</w:t>
            </w:r>
          </w:p>
        </w:tc>
      </w:tr>
      <w:tr>
        <w:trPr>
          <w:trHeight w:val="907" w:hRule="atLeast"/>
        </w:trPr>
        <w:tc>
          <w:tcPr>
            <w:tcW w:type="dxa" w:w="1814"/>
            <w:vMerge w:val="restart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Scalability</w:t>
            </w:r>
          </w:p>
        </w:tc>
        <w:tc>
          <w:tcPr>
            <w:tcW w:type="dxa" w:w="1814"/>
            <w:shd w:val="clear" w:color="auto" w:fill="EEF2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Concurrent</w:t>
              <w:br/>
              <w:t>Reader Capacity</w:t>
            </w:r>
          </w:p>
        </w:tc>
        <w:tc>
          <w:tcPr>
            <w:tcW w:type="dxa" w:w="5216"/>
            <w:shd w:val="clear" w:color="auto" w:fill="F8F9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500 authenticated readers open chapter pages simultaneously during a popular novel update; Neon serverless connection pool handles the load without query timeouts or HTTP 500 errors. This is the Phase 2 target; Phase 3 targets 10 000 concurrent sessions.</w:t>
            </w:r>
          </w:p>
        </w:tc>
        <w:tc>
          <w:tcPr>
            <w:tcW w:type="dxa" w:w="1247"/>
            <w:shd w:val="clear" w:color="auto" w:fill="FFEB9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M</w:t>
            </w:r>
          </w:p>
        </w:tc>
        <w:tc>
          <w:tcPr>
            <w:tcW w:type="dxa" w:w="1247"/>
            <w:shd w:val="clear" w:color="auto" w:fill="FFEB9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M</w:t>
            </w:r>
          </w:p>
        </w:tc>
      </w:tr>
      <w:tr>
        <w:trPr>
          <w:trHeight w:val="907" w:hRule="atLeast"/>
        </w:trPr>
        <w:tc>
          <w:tcPr>
            <w:tcW w:type="dxa" w:w="1814"/>
            <w:vMerge/>
            <w:shd w:val="clear" w:color="auto" w:fill="D9E1F2"/>
            <w:vAlign w:val="center"/>
          </w:tcPr>
          <w:p>
            <w:pPr>
              <w:jc w:val="left"/>
            </w:pPr>
          </w:p>
        </w:tc>
        <w:tc>
          <w:tcPr>
            <w:tcW w:type="dxa" w:w="1814"/>
            <w:shd w:val="clear" w:color="auto" w:fill="EEF2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Follower</w:t>
              <w:br/>
              <w:t>Notifications</w:t>
            </w:r>
          </w:p>
        </w:tc>
        <w:tc>
          <w:tcPr>
            <w:tcW w:type="dxa" w:w="52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Curator publishes a new chapter for a novel with 2 000+ followers; Phase 2 sends notifications synchronously (acceptable for early traffic). Phase 3 extracts delivery to a background queue (Upstash QStash or BullMQ) when synchronous processing exceeds 3 seconds. (UC-12, UC-22)</w:t>
            </w:r>
          </w:p>
        </w:tc>
        <w:tc>
          <w:tcPr>
            <w:tcW w:type="dxa" w:w="1247"/>
            <w:shd w:val="clear" w:color="auto" w:fill="FFEB9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M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H</w:t>
            </w:r>
          </w:p>
        </w:tc>
      </w:tr>
      <w:tr>
        <w:trPr>
          <w:trHeight w:val="907" w:hRule="atLeast"/>
        </w:trPr>
        <w:tc>
          <w:tcPr>
            <w:tcW w:type="dxa" w:w="1814"/>
            <w:vMerge/>
            <w:shd w:val="clear" w:color="auto" w:fill="D9E1F2"/>
            <w:vAlign w:val="center"/>
          </w:tcPr>
          <w:p>
            <w:pPr>
              <w:jc w:val="left"/>
            </w:pPr>
          </w:p>
        </w:tc>
        <w:tc>
          <w:tcPr>
            <w:tcW w:type="dxa" w:w="1814"/>
            <w:shd w:val="clear" w:color="auto" w:fill="EEF2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Content Index</w:t>
              <w:br/>
              <w:t>Growth</w:t>
            </w:r>
          </w:p>
        </w:tc>
        <w:tc>
          <w:tcPr>
            <w:tcW w:type="dxa" w:w="5216"/>
            <w:shd w:val="clear" w:color="auto" w:fill="F8F9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9"/>
              </w:rPr>
              <w:t>Novel catalogue grows beyond the Meilisearch free-tier limit (100 000 documents); platform upgrades to a paid Meilisearch Cloud plan without code changes or re-indexing effort — only the API key and index URL change in environment variables.</w:t>
            </w:r>
          </w:p>
        </w:tc>
        <w:tc>
          <w:tcPr>
            <w:tcW w:type="dxa" w:w="1247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L</w:t>
            </w:r>
          </w:p>
        </w:tc>
        <w:tc>
          <w:tcPr>
            <w:tcW w:type="dxa" w:w="1247"/>
            <w:shd w:val="clear" w:color="auto" w:fill="FFEB9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2"/>
              </w:rPr>
              <w:t>M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