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ĐẠI HỌC QUỐC GIA TP. HỒ CHÍ MINH</w:t>
        <w:br/>
        <w:t>TRƯỜNG ĐẠI HỌC CÔNG NGHỆ THÔNG TIN</w:t>
        <w:br/>
        <w:t>KHOA HỆ THỐNG THÔNG TIN</w:t>
        <w:br/>
        <w:t>---------------------------------</w:t>
        <w:br/>
      </w:r>
    </w:p>
    <w:p/>
    <w:p/>
    <w:p>
      <w:pPr>
        <w:jc w:val="center"/>
      </w:pPr>
      <w:r>
        <w:rPr>
          <w:rFonts w:ascii="Times New Roman" w:hAnsi="Times New Roman"/>
          <w:b/>
          <w:color w:val="0A192F"/>
          <w:sz w:val="32"/>
        </w:rPr>
        <w:t>BÁO CÁO ĐỒ ÁN MÔN HỌC: ĐIỆN TOÁN ĐÁM MÂY</w:t>
        <w:br/>
        <w:t>ĐỀ TÀI 11: MLOPS - HỆ THỐNG DỰ ĐOÁN KHÁCH HÀNG RỜI BỎ DỊCH VỤ (CUSTOMER CHURN PREDICTION)</w:t>
        <w:br/>
      </w:r>
      <w:r>
        <w:rPr>
          <w:rFonts w:ascii="Times New Roman" w:hAnsi="Times New Roman"/>
          <w:i/>
          <w:sz w:val="26"/>
        </w:rPr>
        <w:t>Môn học: Điện toán đám mây (Cloud Computing)</w:t>
        <w:br/>
      </w:r>
    </w:p>
    <w:p/>
    <w:p/>
    <w:p/>
    <w:p>
      <w:pPr>
        <w:spacing w:line="360" w:lineRule="auto"/>
      </w:pPr>
      <w:r>
        <w:rPr>
          <w:rFonts w:ascii="Times New Roman" w:hAnsi="Times New Roman"/>
          <w:sz w:val="26"/>
        </w:rPr>
        <w:t>Giảng viên hướng dẫn: TS. Nguyễn Trọng Hải</w:t>
        <w:br/>
        <w:t>Sinh viên thực hiện: Nguyễn Trọng Khởi (MSSV: 22520695)</w:t>
        <w:br/>
        <w:t>Lớp: HTTT2022 - Khóa: 2022 - 2026</w:t>
        <w:br/>
      </w:r>
    </w:p>
    <w:p/>
    <w:p/>
    <w:p>
      <w:pPr>
        <w:jc w:val="center"/>
      </w:pPr>
      <w:r>
        <w:rPr>
          <w:rFonts w:ascii="Times New Roman" w:hAnsi="Times New Roman"/>
          <w:b/>
          <w:sz w:val="26"/>
        </w:rPr>
        <w:t>TP. HỒ CHÍ MINH, THÁNG 09/2026</w:t>
      </w:r>
    </w:p>
    <w:p>
      <w:r>
        <w:br w:type="page"/>
      </w:r>
    </w:p>
    <w:p>
      <w:pPr>
        <w:pStyle w:val="Heading1"/>
        <w:spacing w:before="280" w:after="120"/>
      </w:pPr>
      <w:r>
        <w:rPr>
          <w:rFonts w:ascii="Times New Roman" w:hAnsi="Times New Roman"/>
          <w:b/>
          <w:color w:val="0A192F"/>
          <w:sz w:val="32"/>
        </w:rPr>
        <w:t>LỜI CAM ĐOAN</w:t>
      </w:r>
    </w:p>
    <w:p>
      <w:pPr>
        <w:spacing w:line="360" w:lineRule="auto" w:after="120"/>
        <w:jc w:val="both"/>
      </w:pPr>
      <w:r>
        <w:rPr>
          <w:rFonts w:ascii="Times New Roman" w:hAnsi="Times New Roman"/>
          <w:i w:val="0"/>
          <w:sz w:val="26"/>
        </w:rPr>
        <w:t>Tôi xin cam đoan rằng toàn bộ nội dung trong bản báo cáo đồ án này là kết quả nghiên cứu và thực nghiệm trung thực của cá nhân/nhóm. Toàn bộ mã nguồn, dữ liệu thực nghiệm (442,211 bản ghi duy nhất sau xử lý khử trùng lặp) và hệ thống MLOps triển khai đều được vận hành thực tế, không sao chép trái phép hay ngụy tạo dữ liệu giả lập. Các phân tích về giới hạn dữ liệu tổng hợp (synthetic artifacts) và tài liệu tham khảo khoa học quốc tế đều được trình bày minh bạch theo quy chuẩn IEEE.</w:t>
      </w:r>
    </w:p>
    <w:p>
      <w:pPr>
        <w:jc w:val="right"/>
      </w:pPr>
      <w:r>
        <w:rPr>
          <w:rFonts w:ascii="Times New Roman" w:hAnsi="Times New Roman"/>
          <w:i/>
          <w:sz w:val="26"/>
        </w:rPr>
        <w:t>Sinh viên thực hiện</w:t>
        <w:br/>
        <w:t>(Ký và ghi rõ họ tên)</w:t>
        <w:br/>
        <w:br/>
        <w:t>Nguyễn Trọng Khởi</w:t>
      </w:r>
    </w:p>
    <w:p>
      <w:pPr>
        <w:pStyle w:val="Heading1"/>
        <w:spacing w:before="280" w:after="120"/>
      </w:pPr>
      <w:r>
        <w:rPr>
          <w:rFonts w:ascii="Times New Roman" w:hAnsi="Times New Roman"/>
          <w:b/>
          <w:color w:val="0A192F"/>
          <w:sz w:val="32"/>
        </w:rPr>
        <w:t>LỜI CẢM ƠN</w:t>
      </w:r>
    </w:p>
    <w:p>
      <w:pPr>
        <w:spacing w:line="360" w:lineRule="auto" w:after="120"/>
        <w:jc w:val="both"/>
      </w:pPr>
      <w:r>
        <w:rPr>
          <w:rFonts w:ascii="Times New Roman" w:hAnsi="Times New Roman"/>
          <w:i w:val="0"/>
          <w:sz w:val="26"/>
        </w:rPr>
        <w:t>Lời đầu tiên, chúng em xin trân trọng gửi lời cảm ơn sâu sắc đến TS. Nguyễn Trọng Hải cùng Quý Thầy/Cô Bộ môn môn học Điện toán Đám mây tại Trường Đại học Công nghệ Thông tin - ĐHQG-HCM đã truyền đạt kiến thức nền tảng quý báu và định hướng học thuật trong suốt quá trình thực hiện đề tài.</w:t>
        <w:br/>
        <w:br/>
        <w:t>Đồng thời, chúng em xin gửi lời cảm ơn đến cộng đồng mã nguồn mở (Feast, MLflow, FastAPI, DVC, Scikit-learn) và các tác giả của những công trình nghiên cứu khoa học tiên phong đã tạo dựng nền móng công nghệ vững chắc.</w:t>
      </w:r>
    </w:p>
    <w:p>
      <w:r>
        <w:br w:type="page"/>
      </w:r>
    </w:p>
    <w:p>
      <w:pPr>
        <w:pStyle w:val="Heading1"/>
        <w:spacing w:before="280" w:after="120"/>
      </w:pPr>
      <w:r>
        <w:rPr>
          <w:rFonts w:ascii="Times New Roman" w:hAnsi="Times New Roman"/>
          <w:b/>
          <w:color w:val="0A192F"/>
          <w:sz w:val="32"/>
        </w:rPr>
        <w:t>TÓM TẮT ĐỀ TÀI</w:t>
      </w:r>
    </w:p>
    <w:p>
      <w:pPr>
        <w:spacing w:line="360" w:lineRule="auto" w:after="120"/>
        <w:jc w:val="both"/>
      </w:pPr>
      <w:r>
        <w:rPr>
          <w:rFonts w:ascii="Times New Roman" w:hAnsi="Times New Roman"/>
          <w:b/>
          <w:sz w:val="26"/>
        </w:rPr>
        <w:t xml:space="preserve">Tóm tắt tiếng Việt: </w:t>
      </w:r>
      <w:r>
        <w:rPr>
          <w:rFonts w:ascii="Times New Roman" w:hAnsi="Times New Roman"/>
          <w:i w:val="0"/>
          <w:sz w:val="26"/>
        </w:rPr>
        <w:t>Trong thời đại chuyển đổi số và cạnh tranh giữa các doanh nghiệp viễn thông và dịch vụ định kỳ, việc dự đoán nguy cơ khách hàng rời bỏ dịch vụ (Customer Churn) đóng vai trò then chốt trong tối ưu hóa chi phí giữ chân. Đồ án tập trung thiết kế và triển khai một nền tảng MLOps hoàn chỉnh (Level 2) nhằm giải quyết hai thách thức cốt lõi: lệch pha đặc trưng giữa huấn luyện và suy luận (Training-Serving Skew) và suy giảm độ chính xác do biến động phân phối (Data Drift). Hệ thống tích hợp Feast Feature Store với kho kép (Offline Parquet - Online SQLite), quản lý vòng đời và Model Registry bằng MLflow SQLite Backend, tự động hóa phiên bản dữ liệu bằng DVC, và phục vụ dự đoán thời gian thực với FastAPI kèm giải thích SHAP TreeExplainer. Thực nghiệm trên 442,211 khách hàng duy nhất với 5-Fold Cross Validation cho thấy các mô hình Gradient Boosting (XGBoost, LightGBM, Random Forest) đạt hiệu năng cao; đồng thời báo cáo chỉ ra quy luật dữ liệu tổng hợp Kaggle (khách hàng hợp đồng theo tháng có tỷ lệ rời bỏ 99.84%) và đề xuất các giải pháp kiểm định độ tin cậy trong môi trường sản xuất thực tế.</w:t>
      </w:r>
    </w:p>
    <w:p>
      <w:pPr>
        <w:spacing w:line="360" w:lineRule="auto" w:after="120"/>
        <w:jc w:val="both"/>
      </w:pPr>
      <w:r>
        <w:rPr>
          <w:rFonts w:ascii="Times New Roman" w:hAnsi="Times New Roman"/>
          <w:b/>
          <w:sz w:val="26"/>
        </w:rPr>
        <w:t xml:space="preserve">Abstract: </w:t>
      </w:r>
      <w:r>
        <w:rPr>
          <w:rFonts w:ascii="Times New Roman" w:hAnsi="Times New Roman"/>
          <w:i w:val="0"/>
          <w:sz w:val="26"/>
        </w:rPr>
        <w:t>In the modern digital economy, proactive customer churn prediction is critical for optimizing customer retention economics. This project designs and implements an enterprise-grade MLOps Level 2 platform addressing two fundamental production challenges: Training-Serving Skew and Distribution Data Drift. The system incorporates Feast Feature Store with dual-store architecture (Offline Parquet and Online SQLite), automated experiment tracking and Model Registry via MLflow with SQLite backend, reproducible data versioning with DVC, and real-time REST API serving with FastAPI and SHAP TreeExplainer attributions. Empirical evaluation on 442,211 deduplicated customer records across 5-Fold Stratified Cross Validation demonstrates robust tree model performance, while rigorously identifying Kaggle synthetic data artifacts (e.g. 99.84% churn rate among monthly contracts) and detailing practical monitoring strategies for enterprise deployment.</w:t>
      </w:r>
    </w:p>
    <w:p>
      <w:pPr>
        <w:pStyle w:val="Heading1"/>
        <w:spacing w:before="280" w:after="120"/>
      </w:pPr>
      <w:r>
        <w:rPr>
          <w:rFonts w:ascii="Times New Roman" w:hAnsi="Times New Roman"/>
          <w:b/>
          <w:color w:val="0A192F"/>
          <w:sz w:val="32"/>
        </w:rPr>
        <w:t>MỤC LỤC TỔNG QUAN</w:t>
      </w:r>
    </w:p>
    <w:p>
      <w:pPr>
        <w:spacing w:line="360" w:lineRule="auto" w:after="120"/>
        <w:jc w:val="both"/>
      </w:pPr>
      <w:r>
        <w:rPr>
          <w:rFonts w:ascii="Times New Roman" w:hAnsi="Times New Roman"/>
          <w:b/>
          <w:sz w:val="26"/>
        </w:rPr>
        <w:t xml:space="preserve">1. </w:t>
      </w:r>
      <w:r>
        <w:rPr>
          <w:rFonts w:ascii="Times New Roman" w:hAnsi="Times New Roman"/>
          <w:i w:val="0"/>
          <w:sz w:val="26"/>
        </w:rPr>
        <w:t>CHƯƠNG 1: TỔNG QUAN VỀ ĐỀ TÀI</w:t>
      </w:r>
    </w:p>
    <w:p>
      <w:pPr>
        <w:spacing w:line="360" w:lineRule="auto" w:after="120"/>
        <w:jc w:val="both"/>
      </w:pPr>
      <w:r>
        <w:rPr>
          <w:rFonts w:ascii="Times New Roman" w:hAnsi="Times New Roman"/>
          <w:b/>
          <w:sz w:val="26"/>
        </w:rPr>
        <w:t xml:space="preserve">2. </w:t>
      </w:r>
      <w:r>
        <w:rPr>
          <w:rFonts w:ascii="Times New Roman" w:hAnsi="Times New Roman"/>
          <w:i w:val="0"/>
          <w:sz w:val="26"/>
        </w:rPr>
        <w:t>CHƯƠNG 2: CƠ SỞ LÝ THUYẾT &amp; CÔNG NGHỆ TIÊN TIẾN (2024 - 2026)</w:t>
      </w:r>
    </w:p>
    <w:p>
      <w:pPr>
        <w:spacing w:line="360" w:lineRule="auto" w:after="120"/>
        <w:jc w:val="both"/>
      </w:pPr>
      <w:r>
        <w:rPr>
          <w:rFonts w:ascii="Times New Roman" w:hAnsi="Times New Roman"/>
          <w:b/>
          <w:sz w:val="26"/>
        </w:rPr>
        <w:t xml:space="preserve">3. </w:t>
      </w:r>
      <w:r>
        <w:rPr>
          <w:rFonts w:ascii="Times New Roman" w:hAnsi="Times New Roman"/>
          <w:i w:val="0"/>
          <w:sz w:val="26"/>
        </w:rPr>
        <w:t>CHƯƠNG 3: PHÂN TÍCH VÀ THIẾT KẾ KIẾN TRÚC HỆ THỐNG</w:t>
      </w:r>
    </w:p>
    <w:p>
      <w:pPr>
        <w:spacing w:line="360" w:lineRule="auto" w:after="120"/>
        <w:jc w:val="both"/>
      </w:pPr>
      <w:r>
        <w:rPr>
          <w:rFonts w:ascii="Times New Roman" w:hAnsi="Times New Roman"/>
          <w:b/>
          <w:sz w:val="26"/>
        </w:rPr>
        <w:t xml:space="preserve">4. </w:t>
      </w:r>
      <w:r>
        <w:rPr>
          <w:rFonts w:ascii="Times New Roman" w:hAnsi="Times New Roman"/>
          <w:i w:val="0"/>
          <w:sz w:val="26"/>
        </w:rPr>
        <w:t>CHƯƠNG 4: HIỆN THỰC VÀ THỰC NGHIỆM HỆ THỐNG</w:t>
      </w:r>
    </w:p>
    <w:p>
      <w:pPr>
        <w:spacing w:line="360" w:lineRule="auto" w:after="120"/>
        <w:jc w:val="both"/>
      </w:pPr>
      <w:r>
        <w:rPr>
          <w:rFonts w:ascii="Times New Roman" w:hAnsi="Times New Roman"/>
          <w:b/>
          <w:sz w:val="26"/>
        </w:rPr>
        <w:t xml:space="preserve">5. </w:t>
      </w:r>
      <w:r>
        <w:rPr>
          <w:rFonts w:ascii="Times New Roman" w:hAnsi="Times New Roman"/>
          <w:i w:val="0"/>
          <w:sz w:val="26"/>
        </w:rPr>
        <w:t>CHƯƠNG 5: ĐÁNH GIÁ ĐỐI CHUẨN ĐÁM MÂY &amp; TỐI ƯU HIỆU NĂNG</w:t>
      </w:r>
    </w:p>
    <w:p>
      <w:pPr>
        <w:spacing w:line="360" w:lineRule="auto" w:after="120"/>
        <w:jc w:val="both"/>
      </w:pPr>
      <w:r>
        <w:rPr>
          <w:rFonts w:ascii="Times New Roman" w:hAnsi="Times New Roman"/>
          <w:b/>
          <w:sz w:val="26"/>
        </w:rPr>
        <w:t xml:space="preserve">6. </w:t>
      </w:r>
      <w:r>
        <w:rPr>
          <w:rFonts w:ascii="Times New Roman" w:hAnsi="Times New Roman"/>
          <w:i w:val="0"/>
          <w:sz w:val="26"/>
        </w:rPr>
        <w:t>CHƯƠNG 6: KẾT LUẬN VÀ HƯỚNG PHÁT TRIỂN</w:t>
      </w:r>
    </w:p>
    <w:p>
      <w:pPr>
        <w:spacing w:line="360" w:lineRule="auto" w:after="120"/>
        <w:jc w:val="both"/>
      </w:pPr>
      <w:r>
        <w:rPr>
          <w:rFonts w:ascii="Times New Roman" w:hAnsi="Times New Roman"/>
          <w:b/>
          <w:sz w:val="26"/>
        </w:rPr>
        <w:t xml:space="preserve">7. </w:t>
      </w:r>
      <w:r>
        <w:rPr>
          <w:rFonts w:ascii="Times New Roman" w:hAnsi="Times New Roman"/>
          <w:i w:val="0"/>
          <w:sz w:val="26"/>
        </w:rPr>
        <w:t>TÀI LIỆU THAM KHẢO CHUẨN IEEE</w:t>
      </w:r>
    </w:p>
    <w:p>
      <w:pPr>
        <w:pStyle w:val="Heading1"/>
        <w:spacing w:before="280" w:after="120"/>
      </w:pPr>
      <w:r>
        <w:rPr>
          <w:rFonts w:ascii="Times New Roman" w:hAnsi="Times New Roman"/>
          <w:b/>
          <w:color w:val="0A192F"/>
          <w:sz w:val="32"/>
        </w:rPr>
        <w:t>DANH MỤC TỪ VIẾT TẮT</w:t>
      </w:r>
    </w:p>
    <w:tbl>
      <w:tblPr>
        <w:tblW w:type="auto" w:w="0"/>
        <w:jc w:val="center"/>
        <w:tblLook w:firstColumn="1" w:firstRow="1" w:lastColumn="0" w:lastRow="0" w:noHBand="0" w:noVBand="1" w:val="04A0"/>
      </w:tblPr>
      <w:tblGrid>
        <w:gridCol w:w="4703"/>
        <w:gridCol w:w="4703"/>
      </w:tblGrid>
      <w:tr>
        <w:tc>
          <w:tcPr>
            <w:tcW w:type="dxa" w:w="4703"/>
            <w:shd w:val="clear" w:color="auto" w:fill="0A192F"/>
          </w:tcPr>
          <w:p>
            <w:pPr>
              <w:spacing w:line="360" w:lineRule="auto" w:before="60" w:after="60"/>
              <w:jc w:val="left"/>
            </w:pPr>
            <w:r/>
            <w:r>
              <w:rPr>
                <w:rFonts w:ascii="Times New Roman" w:hAnsi="Times New Roman"/>
                <w:b/>
                <w:color w:val="FFFFFF"/>
                <w:sz w:val="22"/>
              </w:rPr>
              <w:t>Thuật Ngữ</w:t>
            </w:r>
          </w:p>
        </w:tc>
        <w:tc>
          <w:tcPr>
            <w:tcW w:type="dxa" w:w="4703"/>
            <w:shd w:val="clear" w:color="auto" w:fill="0A192F"/>
          </w:tcPr>
          <w:p>
            <w:pPr>
              <w:spacing w:line="360" w:lineRule="auto" w:before="60" w:after="60"/>
              <w:jc w:val="left"/>
            </w:pPr>
            <w:r/>
            <w:r>
              <w:rPr>
                <w:rFonts w:ascii="Times New Roman" w:hAnsi="Times New Roman"/>
                <w:b/>
                <w:color w:val="FFFFFF"/>
                <w:sz w:val="22"/>
              </w:rPr>
              <w:t>Ý Nghĩa Chi Tiết</w:t>
            </w:r>
          </w:p>
        </w:tc>
      </w:tr>
      <w:tr>
        <w:tc>
          <w:tcPr>
            <w:tcW w:type="dxa" w:w="4703"/>
          </w:tcPr>
          <w:p>
            <w:pPr>
              <w:spacing w:line="360" w:lineRule="auto" w:before="60" w:after="60"/>
              <w:jc w:val="left"/>
            </w:pPr>
            <w:r/>
            <w:r>
              <w:rPr>
                <w:rFonts w:ascii="Times New Roman" w:hAnsi="Times New Roman"/>
                <w:b/>
                <w:sz w:val="22"/>
              </w:rPr>
              <w:t>MLOps</w:t>
            </w:r>
          </w:p>
        </w:tc>
        <w:tc>
          <w:tcPr>
            <w:tcW w:type="dxa" w:w="4703"/>
          </w:tcPr>
          <w:p>
            <w:pPr>
              <w:spacing w:line="360" w:lineRule="auto" w:before="60" w:after="60"/>
              <w:jc w:val="left"/>
            </w:pPr>
            <w:r/>
            <w:r>
              <w:rPr>
                <w:rFonts w:ascii="Times New Roman" w:hAnsi="Times New Roman"/>
                <w:b w:val="0"/>
                <w:sz w:val="22"/>
              </w:rPr>
              <w:t>Machine Learning Operations - Vận hành và quản trị vòng đời học máy</w:t>
            </w:r>
          </w:p>
        </w:tc>
      </w:tr>
      <w:tr>
        <w:tc>
          <w:tcPr>
            <w:tcW w:type="dxa" w:w="4703"/>
          </w:tcPr>
          <w:p>
            <w:pPr>
              <w:spacing w:line="360" w:lineRule="auto" w:before="60" w:after="60"/>
              <w:jc w:val="left"/>
            </w:pPr>
            <w:r/>
            <w:r>
              <w:rPr>
                <w:rFonts w:ascii="Times New Roman" w:hAnsi="Times New Roman"/>
                <w:b/>
                <w:sz w:val="22"/>
              </w:rPr>
              <w:t>CI/CD</w:t>
            </w:r>
          </w:p>
        </w:tc>
        <w:tc>
          <w:tcPr>
            <w:tcW w:type="dxa" w:w="4703"/>
          </w:tcPr>
          <w:p>
            <w:pPr>
              <w:spacing w:line="360" w:lineRule="auto" w:before="60" w:after="60"/>
              <w:jc w:val="left"/>
            </w:pPr>
            <w:r/>
            <w:r>
              <w:rPr>
                <w:rFonts w:ascii="Times New Roman" w:hAnsi="Times New Roman"/>
                <w:b w:val="0"/>
                <w:sz w:val="22"/>
              </w:rPr>
              <w:t>Continuous Integration / Continuous Delivery - Tích hợp và chuyển giao liên tục</w:t>
            </w:r>
          </w:p>
        </w:tc>
      </w:tr>
      <w:tr>
        <w:tc>
          <w:tcPr>
            <w:tcW w:type="dxa" w:w="4703"/>
          </w:tcPr>
          <w:p>
            <w:pPr>
              <w:spacing w:line="360" w:lineRule="auto" w:before="60" w:after="60"/>
              <w:jc w:val="left"/>
            </w:pPr>
            <w:r/>
            <w:r>
              <w:rPr>
                <w:rFonts w:ascii="Times New Roman" w:hAnsi="Times New Roman"/>
                <w:b/>
                <w:sz w:val="22"/>
              </w:rPr>
              <w:t>CT</w:t>
            </w:r>
          </w:p>
        </w:tc>
        <w:tc>
          <w:tcPr>
            <w:tcW w:type="dxa" w:w="4703"/>
          </w:tcPr>
          <w:p>
            <w:pPr>
              <w:spacing w:line="360" w:lineRule="auto" w:before="60" w:after="60"/>
              <w:jc w:val="left"/>
            </w:pPr>
            <w:r/>
            <w:r>
              <w:rPr>
                <w:rFonts w:ascii="Times New Roman" w:hAnsi="Times New Roman"/>
                <w:b w:val="0"/>
                <w:sz w:val="22"/>
              </w:rPr>
              <w:t>Continuous Training - Tái huấn luyện mô hình tự động</w:t>
            </w:r>
          </w:p>
        </w:tc>
      </w:tr>
      <w:tr>
        <w:tc>
          <w:tcPr>
            <w:tcW w:type="dxa" w:w="4703"/>
          </w:tcPr>
          <w:p>
            <w:pPr>
              <w:spacing w:line="360" w:lineRule="auto" w:before="60" w:after="60"/>
              <w:jc w:val="left"/>
            </w:pPr>
            <w:r/>
            <w:r>
              <w:rPr>
                <w:rFonts w:ascii="Times New Roman" w:hAnsi="Times New Roman"/>
                <w:b/>
                <w:sz w:val="22"/>
              </w:rPr>
              <w:t>ROC-AUC</w:t>
            </w:r>
          </w:p>
        </w:tc>
        <w:tc>
          <w:tcPr>
            <w:tcW w:type="dxa" w:w="4703"/>
          </w:tcPr>
          <w:p>
            <w:pPr>
              <w:spacing w:line="360" w:lineRule="auto" w:before="60" w:after="60"/>
              <w:jc w:val="left"/>
            </w:pPr>
            <w:r/>
            <w:r>
              <w:rPr>
                <w:rFonts w:ascii="Times New Roman" w:hAnsi="Times New Roman"/>
                <w:b w:val="0"/>
                <w:sz w:val="22"/>
              </w:rPr>
              <w:t>Receiver Operating Characteristic - Area Under Curve</w:t>
            </w:r>
          </w:p>
        </w:tc>
      </w:tr>
      <w:tr>
        <w:tc>
          <w:tcPr>
            <w:tcW w:type="dxa" w:w="4703"/>
          </w:tcPr>
          <w:p>
            <w:pPr>
              <w:spacing w:line="360" w:lineRule="auto" w:before="60" w:after="60"/>
              <w:jc w:val="left"/>
            </w:pPr>
            <w:r/>
            <w:r>
              <w:rPr>
                <w:rFonts w:ascii="Times New Roman" w:hAnsi="Times New Roman"/>
                <w:b/>
                <w:sz w:val="22"/>
              </w:rPr>
              <w:t>PR-AUC</w:t>
            </w:r>
          </w:p>
        </w:tc>
        <w:tc>
          <w:tcPr>
            <w:tcW w:type="dxa" w:w="4703"/>
          </w:tcPr>
          <w:p>
            <w:pPr>
              <w:spacing w:line="360" w:lineRule="auto" w:before="60" w:after="60"/>
              <w:jc w:val="left"/>
            </w:pPr>
            <w:r/>
            <w:r>
              <w:rPr>
                <w:rFonts w:ascii="Times New Roman" w:hAnsi="Times New Roman"/>
                <w:b w:val="0"/>
                <w:sz w:val="22"/>
              </w:rPr>
              <w:t>Precision-Recall Area Under Curve</w:t>
            </w:r>
          </w:p>
        </w:tc>
      </w:tr>
      <w:tr>
        <w:tc>
          <w:tcPr>
            <w:tcW w:type="dxa" w:w="4703"/>
          </w:tcPr>
          <w:p>
            <w:pPr>
              <w:spacing w:line="360" w:lineRule="auto" w:before="60" w:after="60"/>
              <w:jc w:val="left"/>
            </w:pPr>
            <w:r/>
            <w:r>
              <w:rPr>
                <w:rFonts w:ascii="Times New Roman" w:hAnsi="Times New Roman"/>
                <w:b/>
                <w:sz w:val="22"/>
              </w:rPr>
              <w:t>PSI</w:t>
            </w:r>
          </w:p>
        </w:tc>
        <w:tc>
          <w:tcPr>
            <w:tcW w:type="dxa" w:w="4703"/>
          </w:tcPr>
          <w:p>
            <w:pPr>
              <w:spacing w:line="360" w:lineRule="auto" w:before="60" w:after="60"/>
              <w:jc w:val="left"/>
            </w:pPr>
            <w:r/>
            <w:r>
              <w:rPr>
                <w:rFonts w:ascii="Times New Roman" w:hAnsi="Times New Roman"/>
                <w:b w:val="0"/>
                <w:sz w:val="22"/>
              </w:rPr>
              <w:t>Population Stability Index - Chỉ số ổn định phân phối dữ liệu</w:t>
            </w:r>
          </w:p>
        </w:tc>
      </w:tr>
      <w:tr>
        <w:tc>
          <w:tcPr>
            <w:tcW w:type="dxa" w:w="4703"/>
          </w:tcPr>
          <w:p>
            <w:pPr>
              <w:spacing w:line="360" w:lineRule="auto" w:before="60" w:after="60"/>
              <w:jc w:val="left"/>
            </w:pPr>
            <w:r/>
            <w:r>
              <w:rPr>
                <w:rFonts w:ascii="Times New Roman" w:hAnsi="Times New Roman"/>
                <w:b/>
                <w:sz w:val="22"/>
              </w:rPr>
              <w:t>KS-test</w:t>
            </w:r>
          </w:p>
        </w:tc>
        <w:tc>
          <w:tcPr>
            <w:tcW w:type="dxa" w:w="4703"/>
          </w:tcPr>
          <w:p>
            <w:pPr>
              <w:spacing w:line="360" w:lineRule="auto" w:before="60" w:after="60"/>
              <w:jc w:val="left"/>
            </w:pPr>
            <w:r/>
            <w:r>
              <w:rPr>
                <w:rFonts w:ascii="Times New Roman" w:hAnsi="Times New Roman"/>
                <w:b w:val="0"/>
                <w:sz w:val="22"/>
              </w:rPr>
              <w:t>Kolmogorov-Smirnov Test - Kiểm định thống kê so sánh 2 mẫu phân phối</w:t>
            </w:r>
          </w:p>
        </w:tc>
      </w:tr>
      <w:tr>
        <w:tc>
          <w:tcPr>
            <w:tcW w:type="dxa" w:w="4703"/>
          </w:tcPr>
          <w:p>
            <w:pPr>
              <w:spacing w:line="360" w:lineRule="auto" w:before="60" w:after="60"/>
              <w:jc w:val="left"/>
            </w:pPr>
            <w:r/>
            <w:r>
              <w:rPr>
                <w:rFonts w:ascii="Times New Roman" w:hAnsi="Times New Roman"/>
                <w:b/>
                <w:sz w:val="22"/>
              </w:rPr>
              <w:t>DVC</w:t>
            </w:r>
          </w:p>
        </w:tc>
        <w:tc>
          <w:tcPr>
            <w:tcW w:type="dxa" w:w="4703"/>
          </w:tcPr>
          <w:p>
            <w:pPr>
              <w:spacing w:line="360" w:lineRule="auto" w:before="60" w:after="60"/>
              <w:jc w:val="left"/>
            </w:pPr>
            <w:r/>
            <w:r>
              <w:rPr>
                <w:rFonts w:ascii="Times New Roman" w:hAnsi="Times New Roman"/>
                <w:b w:val="0"/>
                <w:sz w:val="22"/>
              </w:rPr>
              <w:t>Data Version Control - Hệ thống quản lý phiên bản dữ liệu lớn</w:t>
            </w:r>
          </w:p>
        </w:tc>
      </w:tr>
      <w:tr>
        <w:tc>
          <w:tcPr>
            <w:tcW w:type="dxa" w:w="4703"/>
          </w:tcPr>
          <w:p>
            <w:pPr>
              <w:spacing w:line="360" w:lineRule="auto" w:before="60" w:after="60"/>
              <w:jc w:val="left"/>
            </w:pPr>
            <w:r/>
            <w:r>
              <w:rPr>
                <w:rFonts w:ascii="Times New Roman" w:hAnsi="Times New Roman"/>
                <w:b/>
                <w:sz w:val="22"/>
              </w:rPr>
              <w:t>REST API</w:t>
            </w:r>
          </w:p>
        </w:tc>
        <w:tc>
          <w:tcPr>
            <w:tcW w:type="dxa" w:w="4703"/>
          </w:tcPr>
          <w:p>
            <w:pPr>
              <w:spacing w:line="360" w:lineRule="auto" w:before="60" w:after="60"/>
              <w:jc w:val="left"/>
            </w:pPr>
            <w:r/>
            <w:r>
              <w:rPr>
                <w:rFonts w:ascii="Times New Roman" w:hAnsi="Times New Roman"/>
                <w:b w:val="0"/>
                <w:sz w:val="22"/>
              </w:rPr>
              <w:t>Representational State Transfer Application Programming Interface</w:t>
            </w:r>
          </w:p>
        </w:tc>
      </w:tr>
      <w:tr>
        <w:tc>
          <w:tcPr>
            <w:tcW w:type="dxa" w:w="4703"/>
          </w:tcPr>
          <w:p>
            <w:pPr>
              <w:spacing w:line="360" w:lineRule="auto" w:before="60" w:after="60"/>
              <w:jc w:val="left"/>
            </w:pPr>
            <w:r/>
            <w:r>
              <w:rPr>
                <w:rFonts w:ascii="Times New Roman" w:hAnsi="Times New Roman"/>
                <w:b/>
                <w:sz w:val="22"/>
              </w:rPr>
              <w:t>ACID</w:t>
            </w:r>
          </w:p>
        </w:tc>
        <w:tc>
          <w:tcPr>
            <w:tcW w:type="dxa" w:w="4703"/>
          </w:tcPr>
          <w:p>
            <w:pPr>
              <w:spacing w:line="360" w:lineRule="auto" w:before="60" w:after="60"/>
              <w:jc w:val="left"/>
            </w:pPr>
            <w:r/>
            <w:r>
              <w:rPr>
                <w:rFonts w:ascii="Times New Roman" w:hAnsi="Times New Roman"/>
                <w:b w:val="0"/>
                <w:sz w:val="22"/>
              </w:rPr>
              <w:t>Atomicity, Consistency, Isolation, Durability - Chuẩn toàn vẹn cơ sở dữ liệu</w:t>
            </w:r>
          </w:p>
        </w:tc>
      </w:tr>
      <w:tr>
        <w:tc>
          <w:tcPr>
            <w:tcW w:type="dxa" w:w="4703"/>
          </w:tcPr>
          <w:p>
            <w:pPr>
              <w:spacing w:line="360" w:lineRule="auto" w:before="60" w:after="60"/>
              <w:jc w:val="left"/>
            </w:pPr>
            <w:r/>
            <w:r>
              <w:rPr>
                <w:rFonts w:ascii="Times New Roman" w:hAnsi="Times New Roman"/>
                <w:b/>
                <w:sz w:val="22"/>
              </w:rPr>
              <w:t>TCO</w:t>
            </w:r>
          </w:p>
        </w:tc>
        <w:tc>
          <w:tcPr>
            <w:tcW w:type="dxa" w:w="4703"/>
          </w:tcPr>
          <w:p>
            <w:pPr>
              <w:spacing w:line="360" w:lineRule="auto" w:before="60" w:after="60"/>
              <w:jc w:val="left"/>
            </w:pPr>
            <w:r/>
            <w:r>
              <w:rPr>
                <w:rFonts w:ascii="Times New Roman" w:hAnsi="Times New Roman"/>
                <w:b w:val="0"/>
                <w:sz w:val="22"/>
              </w:rPr>
              <w:t>Total Cost of Ownership - Tổng chi phí sở hữu hệ thống</w:t>
            </w:r>
          </w:p>
        </w:tc>
      </w:tr>
    </w:tbl>
    <w:p>
      <w:r>
        <w:br w:type="page"/>
      </w:r>
    </w:p>
    <w:p>
      <w:pPr>
        <w:pStyle w:val="Heading1"/>
        <w:spacing w:before="280" w:after="120"/>
      </w:pPr>
      <w:r>
        <w:rPr>
          <w:rFonts w:ascii="Times New Roman" w:hAnsi="Times New Roman"/>
          <w:b/>
          <w:color w:val="0A192F"/>
          <w:sz w:val="32"/>
        </w:rPr>
        <w:t>CHƯƠNG 1: TỔNG QUAN VỀ ĐỀ TÀI</w:t>
      </w:r>
    </w:p>
    <w:p>
      <w:pPr>
        <w:pStyle w:val="Heading2"/>
        <w:spacing w:before="200" w:after="80"/>
      </w:pPr>
      <w:r>
        <w:rPr>
          <w:rFonts w:ascii="Times New Roman" w:hAnsi="Times New Roman"/>
          <w:b/>
          <w:color w:val="1E293B"/>
          <w:sz w:val="28"/>
        </w:rPr>
        <w:t>1.1. Bối cảnh và Tầm quan trọng của Đề tài</w:t>
      </w:r>
    </w:p>
    <w:p>
      <w:pPr>
        <w:spacing w:line="360" w:lineRule="auto" w:after="120"/>
        <w:jc w:val="both"/>
      </w:pPr>
      <w:r>
        <w:rPr>
          <w:rFonts w:ascii="Times New Roman" w:hAnsi="Times New Roman"/>
          <w:i w:val="0"/>
          <w:sz w:val="26"/>
        </w:rPr>
        <w:t>Dự đoán khách hàng rời bỏ dịch vụ viễn thông là bài toán sống còn quyết định doanh thu doanh nghiệp. Việc duy trì khách hàng hiện tại có chi phí thấp hơn 5 đến 7 lần so với việc tìm kiếm khách hàng mới.</w:t>
      </w:r>
    </w:p>
    <w:p>
      <w:pPr>
        <w:pStyle w:val="Heading2"/>
        <w:spacing w:before="200" w:after="80"/>
      </w:pPr>
      <w:r>
        <w:rPr>
          <w:rFonts w:ascii="Times New Roman" w:hAnsi="Times New Roman"/>
          <w:b/>
          <w:color w:val="1E293B"/>
          <w:sz w:val="28"/>
        </w:rPr>
        <w:t>1.2. Mục tiêu Nghiên cứu &amp; Phạm vi</w:t>
      </w:r>
    </w:p>
    <w:p>
      <w:pPr>
        <w:spacing w:line="360" w:lineRule="auto" w:after="120"/>
        <w:jc w:val="both"/>
      </w:pPr>
      <w:r>
        <w:rPr>
          <w:rFonts w:ascii="Times New Roman" w:hAnsi="Times New Roman"/>
          <w:i w:val="0"/>
          <w:sz w:val="26"/>
        </w:rPr>
        <w:t>Mục tiêu là xây dựng hệ thống MLOps hoàn chỉnh từ dữ liệu thực tế 442,211 bản ghi duy nhất, tích hợp Feast Feature Store, MLflow Model Registry, kiểm định Data Drift (KS-test/PSI), và phục vụ REST API FastAPI kèm giao diện Bento Grid.</w:t>
      </w:r>
    </w:p>
    <w:p>
      <w:pPr>
        <w:spacing w:before="160" w:after="40"/>
        <w:jc w:val="center"/>
      </w:pPr>
      <w:r>
        <w:drawing>
          <wp:inline xmlns:a="http://schemas.openxmlformats.org/drawingml/2006/main" xmlns:pic="http://schemas.openxmlformats.org/drawingml/2006/picture">
            <wp:extent cx="4754880" cy="2878231"/>
            <wp:docPr id="1" name="Picture 1"/>
            <wp:cNvGraphicFramePr>
              <a:graphicFrameLocks noChangeAspect="1"/>
            </wp:cNvGraphicFramePr>
            <a:graphic>
              <a:graphicData uri="http://schemas.openxmlformats.org/drawingml/2006/picture">
                <pic:pic>
                  <pic:nvPicPr>
                    <pic:cNvPr id="0" name="bt11_tong_quan_kien_truc.png"/>
                    <pic:cNvPicPr/>
                  </pic:nvPicPr>
                  <pic:blipFill>
                    <a:blip r:embed="rId9"/>
                    <a:stretch>
                      <a:fillRect/>
                    </a:stretch>
                  </pic:blipFill>
                  <pic:spPr>
                    <a:xfrm>
                      <a:off x="0" y="0"/>
                      <a:ext cx="4754880" cy="2878231"/>
                    </a:xfrm>
                    <a:prstGeom prst="rect"/>
                  </pic:spPr>
                </pic:pic>
              </a:graphicData>
            </a:graphic>
          </wp:inline>
        </w:drawing>
      </w:r>
    </w:p>
    <w:p>
      <w:pPr>
        <w:spacing w:after="160"/>
        <w:jc w:val="center"/>
      </w:pPr>
      <w:r>
        <w:rPr>
          <w:rFonts w:ascii="Times New Roman" w:hAnsi="Times New Roman"/>
          <w:i/>
          <w:sz w:val="22"/>
        </w:rPr>
        <w:t>Hình 1.1: Sơ đồ tổng quan kiến trúc hệ thống MLOps Đề tài 11 (Theo đề bài gốc)</w:t>
      </w:r>
    </w:p>
    <w:p>
      <w:pPr>
        <w:pStyle w:val="Heading2"/>
        <w:spacing w:before="200" w:after="80"/>
      </w:pPr>
      <w:r>
        <w:rPr>
          <w:rFonts w:ascii="Times New Roman" w:hAnsi="Times New Roman"/>
          <w:b/>
          <w:color w:val="1E293B"/>
          <w:sz w:val="28"/>
        </w:rPr>
        <w:t>1.3. Khảo sát Học thuật &amp; Đối chuẩn GitHub (2024 - 2026)</w:t>
      </w:r>
    </w:p>
    <w:p>
      <w:pPr>
        <w:spacing w:line="360" w:lineRule="auto" w:after="120"/>
        <w:jc w:val="both"/>
      </w:pPr>
      <w:r>
        <w:rPr>
          <w:rFonts w:ascii="Times New Roman" w:hAnsi="Times New Roman"/>
          <w:i w:val="0"/>
          <w:sz w:val="26"/>
        </w:rPr>
        <w:t>Dự án kế thừa các công trình nghiên cứu hiện đại giai đoạn 2024 - 2026: Hasan et al. (2024) khẳng định ưu thế vượt trội của kỹ thuật kết hợp Ensemble đa tầng; Bodria et al. (2024) đặt nền móng tích hợp XAI vào phát hiện Concept Drift; Chen et al. (2025) đề xuất chỉ số đánh giá e-Profits gắn liền với lợi nhuận giữ chân khách hàng; Verma et al. (2025) tích hợp SHAP phân rã nguyên nhân rời bỏ; Zhang et al. (2025) và Weber et al. (2026) chuẩn hóa quy trình tự động kích hoạt tái huấn luyện trong kiến trúc MLOps khi chỉ số trôi dạt KS-test và PSI vượt ngưỡng.</w:t>
      </w:r>
    </w:p>
    <w:p>
      <w:pPr>
        <w:pStyle w:val="Heading1"/>
        <w:spacing w:before="280" w:after="120"/>
      </w:pPr>
      <w:r>
        <w:rPr>
          <w:rFonts w:ascii="Times New Roman" w:hAnsi="Times New Roman"/>
          <w:b/>
          <w:color w:val="0A192F"/>
          <w:sz w:val="32"/>
        </w:rPr>
        <w:t>CHƯƠNG 2: CƠ SỞ LÝ THUYẾT &amp; CÔNG NGHỆ LIÊN QUAN</w:t>
      </w:r>
    </w:p>
    <w:p>
      <w:pPr>
        <w:pStyle w:val="Heading2"/>
        <w:spacing w:before="200" w:after="80"/>
      </w:pPr>
      <w:r>
        <w:rPr>
          <w:rFonts w:ascii="Times New Roman" w:hAnsi="Times New Roman"/>
          <w:b/>
          <w:color w:val="1E293B"/>
          <w:sz w:val="28"/>
        </w:rPr>
        <w:t>2.1. Các Thuật Toán Học Máy Dạng Bảng &amp; Kiến Trúc Ensemble</w:t>
      </w:r>
    </w:p>
    <w:p>
      <w:pPr>
        <w:spacing w:line="360" w:lineRule="auto" w:after="120"/>
        <w:jc w:val="both"/>
      </w:pPr>
      <w:r>
        <w:rPr>
          <w:rFonts w:ascii="Times New Roman" w:hAnsi="Times New Roman"/>
          <w:i w:val="0"/>
          <w:sz w:val="26"/>
        </w:rPr>
        <w:t>Hệ thống khảo sát 4 thuật toán: Logistic Regression (Baseline), Random Forest (Tập hợp cây đa tầng), XGBoost và LightGBM (Gradient Boosting tối ưu). Khai thác song song các mô hình cây giúp mô hình hóa đồng thời mối quan hệ phi tuyến tính phức tạp giữa trễ hạn thanh toán, số lần gọi hỗ trợ và thời gian gắn bó.</w:t>
      </w:r>
    </w:p>
    <w:p>
      <w:pPr>
        <w:pStyle w:val="Heading2"/>
        <w:spacing w:before="200" w:after="80"/>
      </w:pPr>
      <w:r>
        <w:rPr>
          <w:rFonts w:ascii="Times New Roman" w:hAnsi="Times New Roman"/>
          <w:b/>
          <w:color w:val="1E293B"/>
          <w:sz w:val="28"/>
        </w:rPr>
        <w:t>2.2. Feast Feature Store &amp; Triệt Tiêu Training-Serving Skew</w:t>
      </w:r>
    </w:p>
    <w:p>
      <w:pPr>
        <w:spacing w:line="360" w:lineRule="auto" w:after="120"/>
        <w:jc w:val="both"/>
      </w:pPr>
      <w:r>
        <w:rPr>
          <w:rFonts w:ascii="Times New Roman" w:hAnsi="Times New Roman"/>
          <w:i w:val="0"/>
          <w:sz w:val="26"/>
        </w:rPr>
        <w:t>Feast cung cấp mô hình kho kép (Dual Store): Offline Store (Parquet nén Snappy) cho huấn luyện hàng loạt với truy vấn point-in-time, và Online Store (SQLite) phục vụ suy luận thời gian thực với độ trễ dưới 2ms, loại bỏ hoàn toàn hiện tượng chênh lệch đặc trưng huấn luyện - phục vụ.</w:t>
      </w:r>
    </w:p>
    <w:p>
      <w:pPr>
        <w:spacing w:before="160" w:after="40"/>
        <w:jc w:val="center"/>
      </w:pPr>
      <w:r>
        <w:drawing>
          <wp:inline xmlns:a="http://schemas.openxmlformats.org/drawingml/2006/main" xmlns:pic="http://schemas.openxmlformats.org/drawingml/2006/picture">
            <wp:extent cx="4754880" cy="2646481"/>
            <wp:docPr id="2" name="Picture 2"/>
            <wp:cNvGraphicFramePr>
              <a:graphicFrameLocks noChangeAspect="1"/>
            </wp:cNvGraphicFramePr>
            <a:graphic>
              <a:graphicData uri="http://schemas.openxmlformats.org/drawingml/2006/picture">
                <pic:pic>
                  <pic:nvPicPr>
                    <pic:cNvPr id="0" name="bt11_data_versioning_dvc.png"/>
                    <pic:cNvPicPr/>
                  </pic:nvPicPr>
                  <pic:blipFill>
                    <a:blip r:embed="rId10"/>
                    <a:stretch>
                      <a:fillRect/>
                    </a:stretch>
                  </pic:blipFill>
                  <pic:spPr>
                    <a:xfrm>
                      <a:off x="0" y="0"/>
                      <a:ext cx="4754880" cy="2646481"/>
                    </a:xfrm>
                    <a:prstGeom prst="rect"/>
                  </pic:spPr>
                </pic:pic>
              </a:graphicData>
            </a:graphic>
          </wp:inline>
        </w:drawing>
      </w:r>
    </w:p>
    <w:p>
      <w:pPr>
        <w:spacing w:after="160"/>
        <w:jc w:val="center"/>
      </w:pPr>
      <w:r>
        <w:rPr>
          <w:rFonts w:ascii="Times New Roman" w:hAnsi="Times New Roman"/>
          <w:i/>
          <w:sz w:val="22"/>
        </w:rPr>
        <w:t>Hình 2.1: Quy trình Tracking data version sử dụng DVC (Theo đề bài gốc)</w:t>
      </w:r>
    </w:p>
    <w:p>
      <w:pPr>
        <w:spacing w:before="160" w:after="40"/>
        <w:jc w:val="center"/>
      </w:pPr>
      <w:r>
        <w:drawing>
          <wp:inline xmlns:a="http://schemas.openxmlformats.org/drawingml/2006/main" xmlns:pic="http://schemas.openxmlformats.org/drawingml/2006/picture">
            <wp:extent cx="4754880" cy="2173045"/>
            <wp:docPr id="3" name="Picture 3"/>
            <wp:cNvGraphicFramePr>
              <a:graphicFrameLocks noChangeAspect="1"/>
            </wp:cNvGraphicFramePr>
            <a:graphic>
              <a:graphicData uri="http://schemas.openxmlformats.org/drawingml/2006/picture">
                <pic:pic>
                  <pic:nvPicPr>
                    <pic:cNvPr id="0" name="bt11_feature_store_feast.png"/>
                    <pic:cNvPicPr/>
                  </pic:nvPicPr>
                  <pic:blipFill>
                    <a:blip r:embed="rId11"/>
                    <a:stretch>
                      <a:fillRect/>
                    </a:stretch>
                  </pic:blipFill>
                  <pic:spPr>
                    <a:xfrm>
                      <a:off x="0" y="0"/>
                      <a:ext cx="4754880" cy="2173045"/>
                    </a:xfrm>
                    <a:prstGeom prst="rect"/>
                  </pic:spPr>
                </pic:pic>
              </a:graphicData>
            </a:graphic>
          </wp:inline>
        </w:drawing>
      </w:r>
    </w:p>
    <w:p>
      <w:pPr>
        <w:spacing w:after="160"/>
        <w:jc w:val="center"/>
      </w:pPr>
      <w:r>
        <w:rPr>
          <w:rFonts w:ascii="Times New Roman" w:hAnsi="Times New Roman"/>
          <w:i/>
          <w:sz w:val="22"/>
        </w:rPr>
        <w:t>Hình 2.2: Kiến trúc Dual-Store của Feast Feature Store (Theo đề bài gốc)</w:t>
      </w:r>
    </w:p>
    <w:p>
      <w:pPr>
        <w:pStyle w:val="Heading2"/>
        <w:spacing w:before="200" w:after="80"/>
      </w:pPr>
      <w:r>
        <w:rPr>
          <w:rFonts w:ascii="Times New Roman" w:hAnsi="Times New Roman"/>
          <w:b/>
          <w:color w:val="1E293B"/>
          <w:sz w:val="28"/>
        </w:rPr>
        <w:t>2.3. Giám sát Trôi dạt Dữ liệu &amp; Tự Động Hóa MLOps (2025 - 2026)</w:t>
      </w:r>
    </w:p>
    <w:p>
      <w:pPr>
        <w:spacing w:line="360" w:lineRule="auto" w:after="120"/>
        <w:jc w:val="both"/>
      </w:pPr>
      <w:r>
        <w:rPr>
          <w:rFonts w:ascii="Times New Roman" w:hAnsi="Times New Roman"/>
          <w:i w:val="0"/>
          <w:sz w:val="26"/>
        </w:rPr>
        <w:t>Hệ thống áp dụng kiểm định 2 mẫu Kolmogorov-Smirnov (KS-test) và chỉ số Population Stability Index (PSI) định kỳ. Khi PSI vượt ngưỡng 0.25 hoặc p-value &lt; 0.05, cảnh báo tự động được kích hoạt để đề xuất tái huấn luyện mô hình qua webhook.</w:t>
      </w:r>
    </w:p>
    <w:p>
      <w:pPr>
        <w:spacing w:before="160" w:after="40"/>
        <w:jc w:val="center"/>
      </w:pPr>
      <w:r>
        <w:drawing>
          <wp:inline xmlns:a="http://schemas.openxmlformats.org/drawingml/2006/main" xmlns:pic="http://schemas.openxmlformats.org/drawingml/2006/picture">
            <wp:extent cx="4754880" cy="3140225"/>
            <wp:docPr id="4" name="Picture 4"/>
            <wp:cNvGraphicFramePr>
              <a:graphicFrameLocks noChangeAspect="1"/>
            </wp:cNvGraphicFramePr>
            <a:graphic>
              <a:graphicData uri="http://schemas.openxmlformats.org/drawingml/2006/picture">
                <pic:pic>
                  <pic:nvPicPr>
                    <pic:cNvPr id="0" name="bt11_model_lifecycle_mlflow.png"/>
                    <pic:cNvPicPr/>
                  </pic:nvPicPr>
                  <pic:blipFill>
                    <a:blip r:embed="rId12"/>
                    <a:stretch>
                      <a:fillRect/>
                    </a:stretch>
                  </pic:blipFill>
                  <pic:spPr>
                    <a:xfrm>
                      <a:off x="0" y="0"/>
                      <a:ext cx="4754880" cy="3140225"/>
                    </a:xfrm>
                    <a:prstGeom prst="rect"/>
                  </pic:spPr>
                </pic:pic>
              </a:graphicData>
            </a:graphic>
          </wp:inline>
        </w:drawing>
      </w:r>
    </w:p>
    <w:p>
      <w:pPr>
        <w:spacing w:after="160"/>
        <w:jc w:val="center"/>
      </w:pPr>
      <w:r>
        <w:rPr>
          <w:rFonts w:ascii="Times New Roman" w:hAnsi="Times New Roman"/>
          <w:i/>
          <w:sz w:val="22"/>
        </w:rPr>
        <w:t>Hình 2.3: Vòng đời mô hình và Versioning với MLflow (Theo đề bài gốc)</w:t>
      </w:r>
    </w:p>
    <w:p>
      <w:pPr>
        <w:pStyle w:val="Heading2"/>
        <w:spacing w:before="200" w:after="80"/>
      </w:pPr>
      <w:r>
        <w:rPr>
          <w:rFonts w:ascii="Times New Roman" w:hAnsi="Times New Roman"/>
          <w:b/>
          <w:color w:val="1E293B"/>
          <w:sz w:val="28"/>
        </w:rPr>
        <w:t>2.4. Trí Tuệ Nhân Tạo Có Thể Giải Thích (XAI) &amp; Chỉ Số e-Profits</w:t>
      </w:r>
    </w:p>
    <w:p>
      <w:pPr>
        <w:spacing w:line="360" w:lineRule="auto" w:after="120"/>
        <w:jc w:val="both"/>
      </w:pPr>
      <w:r>
        <w:rPr>
          <w:rFonts w:ascii="Times New Roman" w:hAnsi="Times New Roman"/>
          <w:i w:val="0"/>
          <w:sz w:val="26"/>
        </w:rPr>
        <w:t>Áp dụng SHAP TreeExplainer, hệ thống bóc tách rõ ràng mức độ ảnh hưởng của từng yếu tố rủi ro trực tiếp trên từng dự đoán suy luận. Kết hợp phương pháp đánh giá định hướng kinh doanh e-Profits, API đưa ra các hành động can thiệp tương ứng với từng phân khúc rủi ro.</w:t>
      </w:r>
    </w:p>
    <w:p>
      <w:pPr>
        <w:pStyle w:val="Heading1"/>
        <w:spacing w:before="280" w:after="120"/>
      </w:pPr>
      <w:r>
        <w:rPr>
          <w:rFonts w:ascii="Times New Roman" w:hAnsi="Times New Roman"/>
          <w:b/>
          <w:color w:val="0A192F"/>
          <w:sz w:val="32"/>
        </w:rPr>
        <w:t>CHƯƠNG 3: PHÂN TÍCH VÀ THIẾT KẾ KIẾN TRÚC HỆ THỐNG</w:t>
      </w:r>
    </w:p>
    <w:p>
      <w:pPr>
        <w:pStyle w:val="Heading2"/>
        <w:spacing w:before="200" w:after="80"/>
      </w:pPr>
      <w:r>
        <w:rPr>
          <w:rFonts w:ascii="Times New Roman" w:hAnsi="Times New Roman"/>
          <w:b/>
          <w:color w:val="1E293B"/>
          <w:sz w:val="28"/>
        </w:rPr>
        <w:t>3.1. Kiến Trúc MLOps Tổng Thể &amp; Serving Pipeline</w:t>
      </w:r>
    </w:p>
    <w:p>
      <w:pPr>
        <w:spacing w:line="360" w:lineRule="auto" w:after="120"/>
        <w:jc w:val="both"/>
      </w:pPr>
      <w:r>
        <w:rPr>
          <w:rFonts w:ascii="Times New Roman" w:hAnsi="Times New Roman"/>
          <w:i w:val="0"/>
          <w:sz w:val="26"/>
        </w:rPr>
        <w:t>Kiến trúc hệ thống chia thành 5 tầng độc lập: Tầng Dữ liệu (DVC + Parquet Snappy), Tầng Đặc trưng (Feast Feature Store), Tầng Huấn luyện (MLflow SQLite Registry), Tầng Phục vụ (FastAPI REST API), và Tầng Giám sát (Drift Detector).</w:t>
      </w:r>
    </w:p>
    <w:p>
      <w:pPr>
        <w:spacing w:before="160" w:after="40"/>
        <w:jc w:val="center"/>
      </w:pPr>
      <w:r>
        <w:drawing>
          <wp:inline xmlns:a="http://schemas.openxmlformats.org/drawingml/2006/main" xmlns:pic="http://schemas.openxmlformats.org/drawingml/2006/picture">
            <wp:extent cx="4754880" cy="2089846"/>
            <wp:docPr id="5" name="Picture 5"/>
            <wp:cNvGraphicFramePr>
              <a:graphicFrameLocks noChangeAspect="1"/>
            </wp:cNvGraphicFramePr>
            <a:graphic>
              <a:graphicData uri="http://schemas.openxmlformats.org/drawingml/2006/picture">
                <pic:pic>
                  <pic:nvPicPr>
                    <pic:cNvPr id="0" name="bt11_serving_pipeline_01.png"/>
                    <pic:cNvPicPr/>
                  </pic:nvPicPr>
                  <pic:blipFill>
                    <a:blip r:embed="rId13"/>
                    <a:stretch>
                      <a:fillRect/>
                    </a:stretch>
                  </pic:blipFill>
                  <pic:spPr>
                    <a:xfrm>
                      <a:off x="0" y="0"/>
                      <a:ext cx="4754880" cy="2089846"/>
                    </a:xfrm>
                    <a:prstGeom prst="rect"/>
                  </pic:spPr>
                </pic:pic>
              </a:graphicData>
            </a:graphic>
          </wp:inline>
        </w:drawing>
      </w:r>
    </w:p>
    <w:p>
      <w:pPr>
        <w:spacing w:after="160"/>
        <w:jc w:val="center"/>
      </w:pPr>
      <w:r>
        <w:rPr>
          <w:rFonts w:ascii="Times New Roman" w:hAnsi="Times New Roman"/>
          <w:i/>
          <w:sz w:val="22"/>
        </w:rPr>
        <w:t>Hình 3.1: Cấu hình luồng dự đoán mô hình - Phần 1 (Theo đề bài gốc)</w:t>
      </w:r>
    </w:p>
    <w:p>
      <w:pPr>
        <w:spacing w:before="160" w:after="40"/>
        <w:jc w:val="center"/>
      </w:pPr>
      <w:r>
        <w:drawing>
          <wp:inline xmlns:a="http://schemas.openxmlformats.org/drawingml/2006/main" xmlns:pic="http://schemas.openxmlformats.org/drawingml/2006/picture">
            <wp:extent cx="4754880" cy="2029861"/>
            <wp:docPr id="6" name="Picture 6"/>
            <wp:cNvGraphicFramePr>
              <a:graphicFrameLocks noChangeAspect="1"/>
            </wp:cNvGraphicFramePr>
            <a:graphic>
              <a:graphicData uri="http://schemas.openxmlformats.org/drawingml/2006/picture">
                <pic:pic>
                  <pic:nvPicPr>
                    <pic:cNvPr id="0" name="bt11_serving_pipeline_02.png"/>
                    <pic:cNvPicPr/>
                  </pic:nvPicPr>
                  <pic:blipFill>
                    <a:blip r:embed="rId14"/>
                    <a:stretch>
                      <a:fillRect/>
                    </a:stretch>
                  </pic:blipFill>
                  <pic:spPr>
                    <a:xfrm>
                      <a:off x="0" y="0"/>
                      <a:ext cx="4754880" cy="2029861"/>
                    </a:xfrm>
                    <a:prstGeom prst="rect"/>
                  </pic:spPr>
                </pic:pic>
              </a:graphicData>
            </a:graphic>
          </wp:inline>
        </w:drawing>
      </w:r>
    </w:p>
    <w:p>
      <w:pPr>
        <w:spacing w:after="160"/>
        <w:jc w:val="center"/>
      </w:pPr>
      <w:r>
        <w:rPr>
          <w:rFonts w:ascii="Times New Roman" w:hAnsi="Times New Roman"/>
          <w:i/>
          <w:sz w:val="22"/>
        </w:rPr>
        <w:t>Hình 3.2: Cấu hình luồng dự đoán mô hình - Phần 2 (Theo đề bài gốc)</w:t>
      </w:r>
    </w:p>
    <w:p>
      <w:pPr>
        <w:spacing w:before="160" w:after="40"/>
        <w:jc w:val="center"/>
      </w:pPr>
      <w:r>
        <w:drawing>
          <wp:inline xmlns:a="http://schemas.openxmlformats.org/drawingml/2006/main" xmlns:pic="http://schemas.openxmlformats.org/drawingml/2006/picture">
            <wp:extent cx="4754880" cy="1949501"/>
            <wp:docPr id="7" name="Picture 7"/>
            <wp:cNvGraphicFramePr>
              <a:graphicFrameLocks noChangeAspect="1"/>
            </wp:cNvGraphicFramePr>
            <a:graphic>
              <a:graphicData uri="http://schemas.openxmlformats.org/drawingml/2006/picture">
                <pic:pic>
                  <pic:nvPicPr>
                    <pic:cNvPr id="0" name="bt11_monitor_drift.png"/>
                    <pic:cNvPicPr/>
                  </pic:nvPicPr>
                  <pic:blipFill>
                    <a:blip r:embed="rId15"/>
                    <a:stretch>
                      <a:fillRect/>
                    </a:stretch>
                  </pic:blipFill>
                  <pic:spPr>
                    <a:xfrm>
                      <a:off x="0" y="0"/>
                      <a:ext cx="4754880" cy="1949501"/>
                    </a:xfrm>
                    <a:prstGeom prst="rect"/>
                  </pic:spPr>
                </pic:pic>
              </a:graphicData>
            </a:graphic>
          </wp:inline>
        </w:drawing>
      </w:r>
    </w:p>
    <w:p>
      <w:pPr>
        <w:spacing w:after="160"/>
        <w:jc w:val="center"/>
      </w:pPr>
      <w:r>
        <w:rPr>
          <w:rFonts w:ascii="Times New Roman" w:hAnsi="Times New Roman"/>
          <w:i/>
          <w:sz w:val="22"/>
        </w:rPr>
        <w:t>Hình 3.3: Cấu hình luồng Monitor Drift (Theo đề bài gốc)</w:t>
      </w:r>
    </w:p>
    <w:p>
      <w:pPr>
        <w:pStyle w:val="Heading2"/>
        <w:spacing w:before="200" w:after="80"/>
      </w:pPr>
      <w:r>
        <w:rPr>
          <w:rFonts w:ascii="Times New Roman" w:hAnsi="Times New Roman"/>
          <w:b/>
          <w:color w:val="1E293B"/>
          <w:sz w:val="28"/>
        </w:rPr>
        <w:t>3.2. CI/CD Pipeline &amp; Runner Tự Động</w:t>
      </w:r>
    </w:p>
    <w:p>
      <w:pPr>
        <w:spacing w:line="360" w:lineRule="auto" w:after="120"/>
        <w:jc w:val="both"/>
      </w:pPr>
      <w:r>
        <w:rPr>
          <w:rFonts w:ascii="Times New Roman" w:hAnsi="Times New Roman"/>
          <w:i w:val="0"/>
          <w:sz w:val="26"/>
        </w:rPr>
        <w:t>Quy trình CI/CD tích hợp GitHub Actions kiểm thử tự động toàn diện và triển khai liên tục, kết hợp hỗ trợ Self-hosted Runner theo chuẩn đề bài giúp bảo vệ hạ tầng nội bộ và tiết kiệm chi phí.</w:t>
      </w:r>
    </w:p>
    <w:p>
      <w:pPr>
        <w:spacing w:before="160" w:after="40"/>
        <w:jc w:val="center"/>
      </w:pPr>
      <w:r>
        <w:drawing>
          <wp:inline xmlns:a="http://schemas.openxmlformats.org/drawingml/2006/main" xmlns:pic="http://schemas.openxmlformats.org/drawingml/2006/picture">
            <wp:extent cx="4754880" cy="1824546"/>
            <wp:docPr id="8" name="Picture 8"/>
            <wp:cNvGraphicFramePr>
              <a:graphicFrameLocks noChangeAspect="1"/>
            </wp:cNvGraphicFramePr>
            <a:graphic>
              <a:graphicData uri="http://schemas.openxmlformats.org/drawingml/2006/picture">
                <pic:pic>
                  <pic:nvPicPr>
                    <pic:cNvPr id="0" name="bt11_cicd_pipeline.png"/>
                    <pic:cNvPicPr/>
                  </pic:nvPicPr>
                  <pic:blipFill>
                    <a:blip r:embed="rId16"/>
                    <a:stretch>
                      <a:fillRect/>
                    </a:stretch>
                  </pic:blipFill>
                  <pic:spPr>
                    <a:xfrm>
                      <a:off x="0" y="0"/>
                      <a:ext cx="4754880" cy="1824546"/>
                    </a:xfrm>
                    <a:prstGeom prst="rect"/>
                  </pic:spPr>
                </pic:pic>
              </a:graphicData>
            </a:graphic>
          </wp:inline>
        </w:drawing>
      </w:r>
    </w:p>
    <w:p>
      <w:pPr>
        <w:spacing w:after="160"/>
        <w:jc w:val="center"/>
      </w:pPr>
      <w:r>
        <w:rPr>
          <w:rFonts w:ascii="Times New Roman" w:hAnsi="Times New Roman"/>
          <w:i/>
          <w:sz w:val="22"/>
        </w:rPr>
        <w:t>Hình 3.4: Kiến trúc CI/CD Pipeline (Theo đề bài gốc)</w:t>
      </w:r>
    </w:p>
    <w:p>
      <w:pPr>
        <w:spacing w:before="160" w:after="40"/>
        <w:jc w:val="center"/>
      </w:pPr>
      <w:r>
        <w:drawing>
          <wp:inline xmlns:a="http://schemas.openxmlformats.org/drawingml/2006/main" xmlns:pic="http://schemas.openxmlformats.org/drawingml/2006/picture">
            <wp:extent cx="4754880" cy="2744055"/>
            <wp:docPr id="9" name="Picture 9"/>
            <wp:cNvGraphicFramePr>
              <a:graphicFrameLocks noChangeAspect="1"/>
            </wp:cNvGraphicFramePr>
            <a:graphic>
              <a:graphicData uri="http://schemas.openxmlformats.org/drawingml/2006/picture">
                <pic:pic>
                  <pic:nvPicPr>
                    <pic:cNvPr id="0" name="bt11_self_hosted_runner.png"/>
                    <pic:cNvPicPr/>
                  </pic:nvPicPr>
                  <pic:blipFill>
                    <a:blip r:embed="rId17"/>
                    <a:stretch>
                      <a:fillRect/>
                    </a:stretch>
                  </pic:blipFill>
                  <pic:spPr>
                    <a:xfrm>
                      <a:off x="0" y="0"/>
                      <a:ext cx="4754880" cy="2744055"/>
                    </a:xfrm>
                    <a:prstGeom prst="rect"/>
                  </pic:spPr>
                </pic:pic>
              </a:graphicData>
            </a:graphic>
          </wp:inline>
        </w:drawing>
      </w:r>
    </w:p>
    <w:p>
      <w:pPr>
        <w:spacing w:after="160"/>
        <w:jc w:val="center"/>
      </w:pPr>
      <w:r>
        <w:rPr>
          <w:rFonts w:ascii="Times New Roman" w:hAnsi="Times New Roman"/>
          <w:i/>
          <w:sz w:val="22"/>
        </w:rPr>
        <w:t>Hình 3.5: Mô hình Self-hosted Runner trong GitHub Actions (Theo đề bài gốc)</w:t>
      </w:r>
    </w:p>
    <w:p>
      <w:pPr>
        <w:pStyle w:val="Heading1"/>
        <w:spacing w:before="280" w:after="120"/>
      </w:pPr>
      <w:r>
        <w:rPr>
          <w:rFonts w:ascii="Times New Roman" w:hAnsi="Times New Roman"/>
          <w:b/>
          <w:color w:val="0A192F"/>
          <w:sz w:val="32"/>
        </w:rPr>
        <w:t>CHƯƠNG 4: HIỆN THỰC VÀ THỰC NGHIỆM HỆ THỐNG</w:t>
      </w:r>
    </w:p>
    <w:p>
      <w:pPr>
        <w:pStyle w:val="Heading2"/>
        <w:spacing w:before="200" w:after="80"/>
      </w:pPr>
      <w:r>
        <w:rPr>
          <w:rFonts w:ascii="Times New Roman" w:hAnsi="Times New Roman"/>
          <w:b/>
          <w:color w:val="1E293B"/>
          <w:sz w:val="28"/>
        </w:rPr>
        <w:t>4.1. Tiền Xử Lý Dữ Liệu &amp; Khử Trùng Lặp</w:t>
      </w:r>
    </w:p>
    <w:p>
      <w:pPr>
        <w:spacing w:line="360" w:lineRule="auto" w:after="120"/>
        <w:jc w:val="both"/>
      </w:pPr>
      <w:r>
        <w:rPr>
          <w:rFonts w:ascii="Times New Roman" w:hAnsi="Times New Roman"/>
          <w:i w:val="0"/>
          <w:sz w:val="26"/>
        </w:rPr>
        <w:t>Tập dữ liệu gốc gồm 440,833 mẫu huấn luyện và 64,374 mẫu kiểm thử chứa 62,995 CustomerID trùng lặp. Pipeline đã hợp nhất và loại bỏ hoàn toàn trùng lặp, thu được chính xác 442,211 khách hàng duy nhất. Dữ liệu được chia phân tầng 70% Train (309,547), 15% Validation (66,332), và 15% Holdout Test (66,332), đảm bảo 0% rò rỉ thông tin khách hàng. Hệ thống đã thực hiện kiểm định chất lượng dữ liệu theo chuẩn Great Expectations với 10 Data Contracts và 2 phương pháp phát hiện ngoại lai (IQR và Z-Score), đạt tỷ lệ vượt qua 100% (0 vi phạm).</w:t>
      </w:r>
    </w:p>
    <w:p>
      <w:pPr>
        <w:pStyle w:val="Heading2"/>
        <w:spacing w:before="200" w:after="80"/>
      </w:pPr>
      <w:r>
        <w:rPr>
          <w:rFonts w:ascii="Times New Roman" w:hAnsi="Times New Roman"/>
          <w:b/>
          <w:color w:val="1E293B"/>
          <w:sz w:val="28"/>
        </w:rPr>
        <w:t>4.2. Kết Quả Huấn Luyện Đa Mô Hình, Cross Validation &amp; Tối Ưu Optuna</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0A192F"/>
          </w:tcPr>
          <w:p>
            <w:pPr>
              <w:spacing w:line="360" w:lineRule="auto" w:before="60" w:after="60"/>
              <w:jc w:val="left"/>
            </w:pPr>
            <w:r/>
            <w:r>
              <w:rPr>
                <w:rFonts w:ascii="Times New Roman" w:hAnsi="Times New Roman"/>
                <w:b/>
                <w:color w:val="FFFFFF"/>
                <w:sz w:val="22"/>
              </w:rPr>
              <w:t>Thuật Toán</w:t>
            </w:r>
          </w:p>
        </w:tc>
        <w:tc>
          <w:tcPr>
            <w:tcW w:type="dxa" w:w="1568"/>
            <w:shd w:val="clear" w:color="auto" w:fill="0A192F"/>
          </w:tcPr>
          <w:p>
            <w:pPr>
              <w:spacing w:line="360" w:lineRule="auto" w:before="60" w:after="60"/>
              <w:jc w:val="left"/>
            </w:pPr>
            <w:r/>
            <w:r>
              <w:rPr>
                <w:rFonts w:ascii="Times New Roman" w:hAnsi="Times New Roman"/>
                <w:b/>
                <w:color w:val="FFFFFF"/>
                <w:sz w:val="22"/>
              </w:rPr>
              <w:t>5-Fold CV AUC</w:t>
            </w:r>
          </w:p>
        </w:tc>
        <w:tc>
          <w:tcPr>
            <w:tcW w:type="dxa" w:w="1568"/>
            <w:shd w:val="clear" w:color="auto" w:fill="0A192F"/>
          </w:tcPr>
          <w:p>
            <w:pPr>
              <w:spacing w:line="360" w:lineRule="auto" w:before="60" w:after="60"/>
              <w:jc w:val="left"/>
            </w:pPr>
            <w:r/>
            <w:r>
              <w:rPr>
                <w:rFonts w:ascii="Times New Roman" w:hAnsi="Times New Roman"/>
                <w:b/>
                <w:color w:val="FFFFFF"/>
                <w:sz w:val="22"/>
              </w:rPr>
              <w:t>Test Accuracy</w:t>
            </w:r>
          </w:p>
        </w:tc>
        <w:tc>
          <w:tcPr>
            <w:tcW w:type="dxa" w:w="1568"/>
            <w:shd w:val="clear" w:color="auto" w:fill="0A192F"/>
          </w:tcPr>
          <w:p>
            <w:pPr>
              <w:spacing w:line="360" w:lineRule="auto" w:before="60" w:after="60"/>
              <w:jc w:val="left"/>
            </w:pPr>
            <w:r/>
            <w:r>
              <w:rPr>
                <w:rFonts w:ascii="Times New Roman" w:hAnsi="Times New Roman"/>
                <w:b/>
                <w:color w:val="FFFFFF"/>
                <w:sz w:val="22"/>
              </w:rPr>
              <w:t>Test Recall</w:t>
            </w:r>
          </w:p>
        </w:tc>
        <w:tc>
          <w:tcPr>
            <w:tcW w:type="dxa" w:w="1568"/>
            <w:shd w:val="clear" w:color="auto" w:fill="0A192F"/>
          </w:tcPr>
          <w:p>
            <w:pPr>
              <w:spacing w:line="360" w:lineRule="auto" w:before="60" w:after="60"/>
              <w:jc w:val="left"/>
            </w:pPr>
            <w:r/>
            <w:r>
              <w:rPr>
                <w:rFonts w:ascii="Times New Roman" w:hAnsi="Times New Roman"/>
                <w:b/>
                <w:color w:val="FFFFFF"/>
                <w:sz w:val="22"/>
              </w:rPr>
              <w:t>Test F1</w:t>
            </w:r>
          </w:p>
        </w:tc>
        <w:tc>
          <w:tcPr>
            <w:tcW w:type="dxa" w:w="1568"/>
            <w:shd w:val="clear" w:color="auto" w:fill="0A192F"/>
          </w:tcPr>
          <w:p>
            <w:pPr>
              <w:spacing w:line="360" w:lineRule="auto" w:before="60" w:after="60"/>
              <w:jc w:val="left"/>
            </w:pPr>
            <w:r/>
            <w:r>
              <w:rPr>
                <w:rFonts w:ascii="Times New Roman" w:hAnsi="Times New Roman"/>
                <w:b/>
                <w:color w:val="FFFFFF"/>
                <w:sz w:val="22"/>
              </w:rPr>
              <w:t>Test ROC-AUC</w:t>
            </w:r>
          </w:p>
        </w:tc>
      </w:tr>
      <w:tr>
        <w:tc>
          <w:tcPr>
            <w:tcW w:type="dxa" w:w="1568"/>
          </w:tcPr>
          <w:p>
            <w:pPr>
              <w:spacing w:line="360" w:lineRule="auto" w:before="60" w:after="60"/>
              <w:jc w:val="left"/>
            </w:pPr>
            <w:r/>
            <w:r>
              <w:rPr>
                <w:rFonts w:ascii="Times New Roman" w:hAnsi="Times New Roman"/>
                <w:b w:val="0"/>
                <w:sz w:val="22"/>
              </w:rPr>
              <w:t xml:space="preserve">Logistic Regression </w:t>
            </w:r>
          </w:p>
        </w:tc>
        <w:tc>
          <w:tcPr>
            <w:tcW w:type="dxa" w:w="1568"/>
          </w:tcPr>
          <w:p>
            <w:pPr>
              <w:spacing w:line="360" w:lineRule="auto" w:before="60" w:after="60"/>
              <w:jc w:val="left"/>
            </w:pPr>
            <w:r/>
            <w:r>
              <w:rPr>
                <w:rFonts w:ascii="Times New Roman" w:hAnsi="Times New Roman"/>
                <w:b w:val="0"/>
                <w:sz w:val="22"/>
              </w:rPr>
              <w:t>0.9442</w:t>
            </w:r>
          </w:p>
        </w:tc>
        <w:tc>
          <w:tcPr>
            <w:tcW w:type="dxa" w:w="1568"/>
          </w:tcPr>
          <w:p>
            <w:pPr>
              <w:spacing w:line="360" w:lineRule="auto" w:before="60" w:after="60"/>
              <w:jc w:val="left"/>
            </w:pPr>
            <w:r/>
            <w:r>
              <w:rPr>
                <w:rFonts w:ascii="Times New Roman" w:hAnsi="Times New Roman"/>
                <w:b w:val="0"/>
                <w:sz w:val="22"/>
              </w:rPr>
              <w:t>87.14%</w:t>
            </w:r>
          </w:p>
        </w:tc>
        <w:tc>
          <w:tcPr>
            <w:tcW w:type="dxa" w:w="1568"/>
          </w:tcPr>
          <w:p>
            <w:pPr>
              <w:spacing w:line="360" w:lineRule="auto" w:before="60" w:after="60"/>
              <w:jc w:val="left"/>
            </w:pPr>
            <w:r/>
            <w:r>
              <w:rPr>
                <w:rFonts w:ascii="Times New Roman" w:hAnsi="Times New Roman"/>
                <w:b w:val="0"/>
                <w:sz w:val="22"/>
              </w:rPr>
              <w:t>85.26%</w:t>
            </w:r>
          </w:p>
        </w:tc>
        <w:tc>
          <w:tcPr>
            <w:tcW w:type="dxa" w:w="1568"/>
          </w:tcPr>
          <w:p>
            <w:pPr>
              <w:spacing w:line="360" w:lineRule="auto" w:before="60" w:after="60"/>
              <w:jc w:val="left"/>
            </w:pPr>
            <w:r/>
            <w:r>
              <w:rPr>
                <w:rFonts w:ascii="Times New Roman" w:hAnsi="Times New Roman"/>
                <w:b w:val="0"/>
                <w:sz w:val="22"/>
              </w:rPr>
              <w:t>88.27%</w:t>
            </w:r>
          </w:p>
        </w:tc>
        <w:tc>
          <w:tcPr>
            <w:tcW w:type="dxa" w:w="1568"/>
          </w:tcPr>
          <w:p>
            <w:pPr>
              <w:spacing w:line="360" w:lineRule="auto" w:before="60" w:after="60"/>
              <w:jc w:val="left"/>
            </w:pPr>
            <w:r/>
            <w:r>
              <w:rPr>
                <w:rFonts w:ascii="Times New Roman" w:hAnsi="Times New Roman"/>
                <w:b w:val="0"/>
                <w:sz w:val="22"/>
              </w:rPr>
              <w:t>0.9440</w:t>
            </w:r>
          </w:p>
        </w:tc>
      </w:tr>
      <w:tr>
        <w:tc>
          <w:tcPr>
            <w:tcW w:type="dxa" w:w="1568"/>
          </w:tcPr>
          <w:p>
            <w:pPr>
              <w:spacing w:line="360" w:lineRule="auto" w:before="60" w:after="60"/>
              <w:jc w:val="left"/>
            </w:pPr>
            <w:r/>
            <w:r>
              <w:rPr>
                <w:rFonts w:ascii="Times New Roman" w:hAnsi="Times New Roman"/>
                <w:b w:val="0"/>
                <w:sz w:val="22"/>
              </w:rPr>
              <w:t xml:space="preserve">Random Forest </w:t>
            </w:r>
          </w:p>
        </w:tc>
        <w:tc>
          <w:tcPr>
            <w:tcW w:type="dxa" w:w="1568"/>
          </w:tcPr>
          <w:p>
            <w:pPr>
              <w:spacing w:line="360" w:lineRule="auto" w:before="60" w:after="60"/>
              <w:jc w:val="left"/>
            </w:pPr>
            <w:r/>
            <w:r>
              <w:rPr>
                <w:rFonts w:ascii="Times New Roman" w:hAnsi="Times New Roman"/>
                <w:b w:val="0"/>
                <w:sz w:val="22"/>
              </w:rPr>
              <w:t>0.9987</w:t>
            </w:r>
          </w:p>
        </w:tc>
        <w:tc>
          <w:tcPr>
            <w:tcW w:type="dxa" w:w="1568"/>
          </w:tcPr>
          <w:p>
            <w:pPr>
              <w:spacing w:line="360" w:lineRule="auto" w:before="60" w:after="60"/>
              <w:jc w:val="left"/>
            </w:pPr>
            <w:r/>
            <w:r>
              <w:rPr>
                <w:rFonts w:ascii="Times New Roman" w:hAnsi="Times New Roman"/>
                <w:b w:val="0"/>
                <w:sz w:val="22"/>
              </w:rPr>
              <w:t>99.29%</w:t>
            </w:r>
          </w:p>
        </w:tc>
        <w:tc>
          <w:tcPr>
            <w:tcW w:type="dxa" w:w="1568"/>
          </w:tcPr>
          <w:p>
            <w:pPr>
              <w:spacing w:line="360" w:lineRule="auto" w:before="60" w:after="60"/>
              <w:jc w:val="left"/>
            </w:pPr>
            <w:r/>
            <w:r>
              <w:rPr>
                <w:rFonts w:ascii="Times New Roman" w:hAnsi="Times New Roman"/>
                <w:b w:val="0"/>
                <w:sz w:val="22"/>
              </w:rPr>
              <w:t>98.94%</w:t>
            </w:r>
          </w:p>
        </w:tc>
        <w:tc>
          <w:tcPr>
            <w:tcW w:type="dxa" w:w="1568"/>
          </w:tcPr>
          <w:p>
            <w:pPr>
              <w:spacing w:line="360" w:lineRule="auto" w:before="60" w:after="60"/>
              <w:jc w:val="left"/>
            </w:pPr>
            <w:r/>
            <w:r>
              <w:rPr>
                <w:rFonts w:ascii="Times New Roman" w:hAnsi="Times New Roman"/>
                <w:b w:val="0"/>
                <w:sz w:val="22"/>
              </w:rPr>
              <w:t>99.37%</w:t>
            </w:r>
          </w:p>
        </w:tc>
        <w:tc>
          <w:tcPr>
            <w:tcW w:type="dxa" w:w="1568"/>
          </w:tcPr>
          <w:p>
            <w:pPr>
              <w:spacing w:line="360" w:lineRule="auto" w:before="60" w:after="60"/>
              <w:jc w:val="left"/>
            </w:pPr>
            <w:r/>
            <w:r>
              <w:rPr>
                <w:rFonts w:ascii="Times New Roman" w:hAnsi="Times New Roman"/>
                <w:b w:val="0"/>
                <w:sz w:val="22"/>
              </w:rPr>
              <w:t>0.9989</w:t>
            </w:r>
          </w:p>
        </w:tc>
      </w:tr>
      <w:tr>
        <w:tc>
          <w:tcPr>
            <w:tcW w:type="dxa" w:w="1568"/>
          </w:tcPr>
          <w:p>
            <w:pPr>
              <w:spacing w:line="360" w:lineRule="auto" w:before="60" w:after="60"/>
              <w:jc w:val="left"/>
            </w:pPr>
            <w:r/>
            <w:r>
              <w:rPr>
                <w:rFonts w:ascii="Times New Roman" w:hAnsi="Times New Roman"/>
                <w:b/>
                <w:sz w:val="22"/>
              </w:rPr>
              <w:t>XGBoost (Champion)</w:t>
            </w:r>
          </w:p>
        </w:tc>
        <w:tc>
          <w:tcPr>
            <w:tcW w:type="dxa" w:w="1568"/>
          </w:tcPr>
          <w:p>
            <w:pPr>
              <w:spacing w:line="360" w:lineRule="auto" w:before="60" w:after="60"/>
              <w:jc w:val="left"/>
            </w:pPr>
            <w:r/>
            <w:r>
              <w:rPr>
                <w:rFonts w:ascii="Times New Roman" w:hAnsi="Times New Roman"/>
                <w:b/>
                <w:sz w:val="22"/>
              </w:rPr>
              <w:t>0.9989</w:t>
            </w:r>
          </w:p>
        </w:tc>
        <w:tc>
          <w:tcPr>
            <w:tcW w:type="dxa" w:w="1568"/>
          </w:tcPr>
          <w:p>
            <w:pPr>
              <w:spacing w:line="360" w:lineRule="auto" w:before="60" w:after="60"/>
              <w:jc w:val="left"/>
            </w:pPr>
            <w:r/>
            <w:r>
              <w:rPr>
                <w:rFonts w:ascii="Times New Roman" w:hAnsi="Times New Roman"/>
                <w:b/>
                <w:sz w:val="22"/>
              </w:rPr>
              <w:t>99.83%</w:t>
            </w:r>
          </w:p>
        </w:tc>
        <w:tc>
          <w:tcPr>
            <w:tcW w:type="dxa" w:w="1568"/>
          </w:tcPr>
          <w:p>
            <w:pPr>
              <w:spacing w:line="360" w:lineRule="auto" w:before="60" w:after="60"/>
              <w:jc w:val="left"/>
            </w:pPr>
            <w:r/>
            <w:r>
              <w:rPr>
                <w:rFonts w:ascii="Times New Roman" w:hAnsi="Times New Roman"/>
                <w:b/>
                <w:sz w:val="22"/>
              </w:rPr>
              <w:t>99.89%</w:t>
            </w:r>
          </w:p>
        </w:tc>
        <w:tc>
          <w:tcPr>
            <w:tcW w:type="dxa" w:w="1568"/>
          </w:tcPr>
          <w:p>
            <w:pPr>
              <w:spacing w:line="360" w:lineRule="auto" w:before="60" w:after="60"/>
              <w:jc w:val="left"/>
            </w:pPr>
            <w:r/>
            <w:r>
              <w:rPr>
                <w:rFonts w:ascii="Times New Roman" w:hAnsi="Times New Roman"/>
                <w:b/>
                <w:sz w:val="22"/>
              </w:rPr>
              <w:t>99.85%</w:t>
            </w:r>
          </w:p>
        </w:tc>
        <w:tc>
          <w:tcPr>
            <w:tcW w:type="dxa" w:w="1568"/>
          </w:tcPr>
          <w:p>
            <w:pPr>
              <w:spacing w:line="360" w:lineRule="auto" w:before="60" w:after="60"/>
              <w:jc w:val="left"/>
            </w:pPr>
            <w:r/>
            <w:r>
              <w:rPr>
                <w:rFonts w:ascii="Times New Roman" w:hAnsi="Times New Roman"/>
                <w:b/>
                <w:sz w:val="22"/>
              </w:rPr>
              <w:t>0.9990</w:t>
            </w:r>
          </w:p>
        </w:tc>
      </w:tr>
      <w:tr>
        <w:tc>
          <w:tcPr>
            <w:tcW w:type="dxa" w:w="1568"/>
          </w:tcPr>
          <w:p>
            <w:pPr>
              <w:spacing w:line="360" w:lineRule="auto" w:before="60" w:after="60"/>
              <w:jc w:val="left"/>
            </w:pPr>
            <w:r/>
            <w:r>
              <w:rPr>
                <w:rFonts w:ascii="Times New Roman" w:hAnsi="Times New Roman"/>
                <w:b w:val="0"/>
                <w:sz w:val="22"/>
              </w:rPr>
              <w:t xml:space="preserve">LightGBM </w:t>
            </w:r>
          </w:p>
        </w:tc>
        <w:tc>
          <w:tcPr>
            <w:tcW w:type="dxa" w:w="1568"/>
          </w:tcPr>
          <w:p>
            <w:pPr>
              <w:spacing w:line="360" w:lineRule="auto" w:before="60" w:after="60"/>
              <w:jc w:val="left"/>
            </w:pPr>
            <w:r/>
            <w:r>
              <w:rPr>
                <w:rFonts w:ascii="Times New Roman" w:hAnsi="Times New Roman"/>
                <w:b w:val="0"/>
                <w:sz w:val="22"/>
              </w:rPr>
              <w:t>0.9989</w:t>
            </w:r>
          </w:p>
        </w:tc>
        <w:tc>
          <w:tcPr>
            <w:tcW w:type="dxa" w:w="1568"/>
          </w:tcPr>
          <w:p>
            <w:pPr>
              <w:spacing w:line="360" w:lineRule="auto" w:before="60" w:after="60"/>
              <w:jc w:val="left"/>
            </w:pPr>
            <w:r/>
            <w:r>
              <w:rPr>
                <w:rFonts w:ascii="Times New Roman" w:hAnsi="Times New Roman"/>
                <w:b w:val="0"/>
                <w:sz w:val="22"/>
              </w:rPr>
              <w:t>99.85%</w:t>
            </w:r>
          </w:p>
        </w:tc>
        <w:tc>
          <w:tcPr>
            <w:tcW w:type="dxa" w:w="1568"/>
          </w:tcPr>
          <w:p>
            <w:pPr>
              <w:spacing w:line="360" w:lineRule="auto" w:before="60" w:after="60"/>
              <w:jc w:val="left"/>
            </w:pPr>
            <w:r/>
            <w:r>
              <w:rPr>
                <w:rFonts w:ascii="Times New Roman" w:hAnsi="Times New Roman"/>
                <w:b w:val="0"/>
                <w:sz w:val="22"/>
              </w:rPr>
              <w:t>99.92%</w:t>
            </w:r>
          </w:p>
        </w:tc>
        <w:tc>
          <w:tcPr>
            <w:tcW w:type="dxa" w:w="1568"/>
          </w:tcPr>
          <w:p>
            <w:pPr>
              <w:spacing w:line="360" w:lineRule="auto" w:before="60" w:after="60"/>
              <w:jc w:val="left"/>
            </w:pPr>
            <w:r/>
            <w:r>
              <w:rPr>
                <w:rFonts w:ascii="Times New Roman" w:hAnsi="Times New Roman"/>
                <w:b w:val="0"/>
                <w:sz w:val="22"/>
              </w:rPr>
              <w:t>99.87%</w:t>
            </w:r>
          </w:p>
        </w:tc>
        <w:tc>
          <w:tcPr>
            <w:tcW w:type="dxa" w:w="1568"/>
          </w:tcPr>
          <w:p>
            <w:pPr>
              <w:spacing w:line="360" w:lineRule="auto" w:before="60" w:after="60"/>
              <w:jc w:val="left"/>
            </w:pPr>
            <w:r/>
            <w:r>
              <w:rPr>
                <w:rFonts w:ascii="Times New Roman" w:hAnsi="Times New Roman"/>
                <w:b w:val="0"/>
                <w:sz w:val="22"/>
              </w:rPr>
              <w:t>0.9990</w:t>
            </w:r>
          </w:p>
        </w:tc>
      </w:tr>
    </w:tbl>
    <w:p>
      <w:pPr>
        <w:spacing w:line="360" w:lineRule="auto" w:after="120"/>
        <w:jc w:val="both"/>
      </w:pPr>
      <w:r>
        <w:rPr>
          <w:rFonts w:ascii="Times New Roman" w:hAnsi="Times New Roman"/>
          <w:i w:val="0"/>
          <w:sz w:val="26"/>
        </w:rPr>
        <w:t>Quá trình tối ưu hóa siêu tham số được thực hiện qua hai cấp độ: 1) GridSearchCV với 5-Fold Stratified Cross-Validation xác định không gian tham số ban đầu; 2) Bayesian Optimization với Optuna (TPE Sampler, 12 trials) tinh chỉnh chi tiết learning rate, subsample và colsample_bytree. Kết quả tối ưu trên tập đại diện xác nhận XGBoost Champion đạt ROC-AUC 0.9990 (n_estimators=140, max_depth=5, lr=0.0708) và Random Forest Challenger đạt ROC-AUC 0.9988 (n_estimators=60, max_depth=14). Mô hình được tự động lưu trữ và đăng ký vào MLflow Model Registry với version quản trị chính thức.</w:t>
      </w:r>
    </w:p>
    <w:p>
      <w:pPr>
        <w:spacing w:before="160" w:after="40"/>
        <w:jc w:val="center"/>
      </w:pPr>
      <w:r>
        <w:drawing>
          <wp:inline xmlns:a="http://schemas.openxmlformats.org/drawingml/2006/main" xmlns:pic="http://schemas.openxmlformats.org/drawingml/2006/picture">
            <wp:extent cx="5029200" cy="2514600"/>
            <wp:docPr id="10" name="Picture 10"/>
            <wp:cNvGraphicFramePr>
              <a:graphicFrameLocks noChangeAspect="1"/>
            </wp:cNvGraphicFramePr>
            <a:graphic>
              <a:graphicData uri="http://schemas.openxmlformats.org/drawingml/2006/picture">
                <pic:pic>
                  <pic:nvPicPr>
                    <pic:cNvPr id="0" name="optuna_optimization.png"/>
                    <pic:cNvPicPr/>
                  </pic:nvPicPr>
                  <pic:blipFill>
                    <a:blip r:embed="rId18"/>
                    <a:stretch>
                      <a:fillRect/>
                    </a:stretch>
                  </pic:blipFill>
                  <pic:spPr>
                    <a:xfrm>
                      <a:off x="0" y="0"/>
                      <a:ext cx="5029200" cy="2514600"/>
                    </a:xfrm>
                    <a:prstGeom prst="rect"/>
                  </pic:spPr>
                </pic:pic>
              </a:graphicData>
            </a:graphic>
          </wp:inline>
        </w:drawing>
      </w:r>
    </w:p>
    <w:p>
      <w:pPr>
        <w:spacing w:after="160"/>
        <w:jc w:val="center"/>
      </w:pPr>
      <w:r>
        <w:rPr>
          <w:rFonts w:ascii="Times New Roman" w:hAnsi="Times New Roman"/>
          <w:i/>
          <w:sz w:val="22"/>
        </w:rPr>
        <w:t>Hình 4.1: Quá trình tối ưu hóa siêu tham số Bayes qua 12 trials bằng Optuna</w:t>
      </w:r>
    </w:p>
    <w:p>
      <w:pPr>
        <w:spacing w:before="160" w:after="40"/>
        <w:jc w:val="center"/>
      </w:pPr>
      <w:r>
        <w:drawing>
          <wp:inline xmlns:a="http://schemas.openxmlformats.org/drawingml/2006/main" xmlns:pic="http://schemas.openxmlformats.org/drawingml/2006/picture">
            <wp:extent cx="5029200" cy="2514600"/>
            <wp:docPr id="11" name="Picture 11"/>
            <wp:cNvGraphicFramePr>
              <a:graphicFrameLocks noChangeAspect="1"/>
            </wp:cNvGraphicFramePr>
            <a:graphic>
              <a:graphicData uri="http://schemas.openxmlformats.org/drawingml/2006/picture">
                <pic:pic>
                  <pic:nvPicPr>
                    <pic:cNvPr id="0" name="model_comparison_metrics.png"/>
                    <pic:cNvPicPr/>
                  </pic:nvPicPr>
                  <pic:blipFill>
                    <a:blip r:embed="rId19"/>
                    <a:stretch>
                      <a:fillRect/>
                    </a:stretch>
                  </pic:blipFill>
                  <pic:spPr>
                    <a:xfrm>
                      <a:off x="0" y="0"/>
                      <a:ext cx="5029200" cy="2514600"/>
                    </a:xfrm>
                    <a:prstGeom prst="rect"/>
                  </pic:spPr>
                </pic:pic>
              </a:graphicData>
            </a:graphic>
          </wp:inline>
        </w:drawing>
      </w:r>
    </w:p>
    <w:p>
      <w:pPr>
        <w:spacing w:after="160"/>
        <w:jc w:val="center"/>
      </w:pPr>
      <w:r>
        <w:rPr>
          <w:rFonts w:ascii="Times New Roman" w:hAnsi="Times New Roman"/>
          <w:i/>
          <w:sz w:val="22"/>
        </w:rPr>
        <w:t>Hình 4.2: So sánh đa chiều các chỉ số hiệu năng của 4 mô hình</w:t>
      </w:r>
    </w:p>
    <w:p>
      <w:pPr>
        <w:spacing w:before="160" w:after="40"/>
        <w:jc w:val="center"/>
      </w:pPr>
      <w:r>
        <w:drawing>
          <wp:inline xmlns:a="http://schemas.openxmlformats.org/drawingml/2006/main" xmlns:pic="http://schemas.openxmlformats.org/drawingml/2006/picture">
            <wp:extent cx="5029200" cy="4310743"/>
            <wp:docPr id="12" name="Picture 12"/>
            <wp:cNvGraphicFramePr>
              <a:graphicFrameLocks noChangeAspect="1"/>
            </wp:cNvGraphicFramePr>
            <a:graphic>
              <a:graphicData uri="http://schemas.openxmlformats.org/drawingml/2006/picture">
                <pic:pic>
                  <pic:nvPicPr>
                    <pic:cNvPr id="0" name="roc_curves.png"/>
                    <pic:cNvPicPr/>
                  </pic:nvPicPr>
                  <pic:blipFill>
                    <a:blip r:embed="rId20"/>
                    <a:stretch>
                      <a:fillRect/>
                    </a:stretch>
                  </pic:blipFill>
                  <pic:spPr>
                    <a:xfrm>
                      <a:off x="0" y="0"/>
                      <a:ext cx="5029200" cy="4310743"/>
                    </a:xfrm>
                    <a:prstGeom prst="rect"/>
                  </pic:spPr>
                </pic:pic>
              </a:graphicData>
            </a:graphic>
          </wp:inline>
        </w:drawing>
      </w:r>
    </w:p>
    <w:p>
      <w:pPr>
        <w:spacing w:after="160"/>
        <w:jc w:val="center"/>
      </w:pPr>
      <w:r>
        <w:rPr>
          <w:rFonts w:ascii="Times New Roman" w:hAnsi="Times New Roman"/>
          <w:i/>
          <w:sz w:val="22"/>
        </w:rPr>
        <w:t>Hình 4.3: Đường cong ROC và diện tích AUC của các mô hình</w:t>
      </w:r>
    </w:p>
    <w:p>
      <w:pPr>
        <w:spacing w:before="160" w:after="40"/>
        <w:jc w:val="center"/>
      </w:pPr>
      <w:r>
        <w:drawing>
          <wp:inline xmlns:a="http://schemas.openxmlformats.org/drawingml/2006/main" xmlns:pic="http://schemas.openxmlformats.org/drawingml/2006/picture">
            <wp:extent cx="5029200" cy="4191000"/>
            <wp:docPr id="13" name="Picture 13"/>
            <wp:cNvGraphicFramePr>
              <a:graphicFrameLocks noChangeAspect="1"/>
            </wp:cNvGraphicFramePr>
            <a:graphic>
              <a:graphicData uri="http://schemas.openxmlformats.org/drawingml/2006/picture">
                <pic:pic>
                  <pic:nvPicPr>
                    <pic:cNvPr id="0" name="confusion_matrix_champion.png"/>
                    <pic:cNvPicPr/>
                  </pic:nvPicPr>
                  <pic:blipFill>
                    <a:blip r:embed="rId21"/>
                    <a:stretch>
                      <a:fillRect/>
                    </a:stretch>
                  </pic:blipFill>
                  <pic:spPr>
                    <a:xfrm>
                      <a:off x="0" y="0"/>
                      <a:ext cx="5029200" cy="4191000"/>
                    </a:xfrm>
                    <a:prstGeom prst="rect"/>
                  </pic:spPr>
                </pic:pic>
              </a:graphicData>
            </a:graphic>
          </wp:inline>
        </w:drawing>
      </w:r>
    </w:p>
    <w:p>
      <w:pPr>
        <w:spacing w:after="160"/>
        <w:jc w:val="center"/>
      </w:pPr>
      <w:r>
        <w:rPr>
          <w:rFonts w:ascii="Times New Roman" w:hAnsi="Times New Roman"/>
          <w:i/>
          <w:sz w:val="22"/>
        </w:rPr>
        <w:t>Hình 4.4: Ma trận nhầm lẫn (Confusion Matrix) của mô hình Champion</w:t>
      </w:r>
    </w:p>
    <w:p>
      <w:pPr>
        <w:spacing w:before="160" w:after="40"/>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5029200" cy="3352800"/>
                    </a:xfrm>
                    <a:prstGeom prst="rect"/>
                  </pic:spPr>
                </pic:pic>
              </a:graphicData>
            </a:graphic>
          </wp:inline>
        </w:drawing>
      </w:r>
    </w:p>
    <w:p>
      <w:pPr>
        <w:spacing w:after="160"/>
        <w:jc w:val="center"/>
      </w:pPr>
      <w:r>
        <w:rPr>
          <w:rFonts w:ascii="Times New Roman" w:hAnsi="Times New Roman"/>
          <w:i/>
          <w:sz w:val="22"/>
        </w:rPr>
        <w:t>Hình 4.5: Mức độ quan trọng của các đặc trưng trong quyết định rời bỏ</w:t>
      </w:r>
    </w:p>
    <w:p>
      <w:pPr>
        <w:pStyle w:val="Heading2"/>
        <w:spacing w:before="200" w:after="80"/>
      </w:pPr>
      <w:r>
        <w:rPr>
          <w:rFonts w:ascii="Times New Roman" w:hAnsi="Times New Roman"/>
          <w:b/>
          <w:color w:val="1E293B"/>
          <w:sz w:val="28"/>
        </w:rPr>
        <w:t>4.3. Phân Tích Giới Hạn Dữ Liệu &amp; Quy Luật Sinh Dữ Liệu Nhân Tạo (Data Bias)</w:t>
      </w:r>
    </w:p>
    <w:p>
      <w:pPr>
        <w:spacing w:line="360" w:lineRule="auto" w:after="120"/>
        <w:jc w:val="both"/>
      </w:pPr>
      <w:r>
        <w:rPr>
          <w:rFonts w:ascii="Times New Roman" w:hAnsi="Times New Roman"/>
          <w:i w:val="0"/>
          <w:sz w:val="26"/>
        </w:rPr>
        <w:t>Phân tích chuyên sâu trên 442,211 khách hàng duy nhất đã phát hiện một hiện tượng thiên lệch dữ liệu cốt lõi: Trong tổng số 87,588 khách hàng ký hợp đồng theo tháng (Monthly Contract), có tới 87,447 khách hàng đã rời bỏ dịch vụ, tương ứng tỷ lệ rời bỏ 99.84%. Đây là quy luật mang tính định thức của bộ dữ liệu tổng hợp (synthetic artifact) trên Kaggle, giải thích vì sao các mô hình học máy dạng cây (Random Forest, XGBoost) đều đạt ROC-AUC xấp xỉ 0.999.</w:t>
        <w:br/>
        <w:br/>
        <w:t>Để kiểm chứng tính xác thực và khả năng phân loại đa biến ngoài đặc trưng hợp đồng tháng, nhóm nghiên cứu đã tiến hành đánh giá phân nhóm (Subgroup Analysis) trên 53,325 khách hàng thuộc hợp đồng Quarterly và Annual trong tập Test. Kết quả thực nghiệm xác nhận mô hình XGBoost vẫn đạt điểm ROC-AUC xuất sắc 0.9992 (so với Logistic Regression đạt 0.9287). Điều này minh chứng mô hình học được các tương tác phi tuyến thực tế giữa số cuộc gọi hỗ trợ, số ngày trễ hạn và tổng chi tiêu, chứ không chỉ học vẹt một quy luật nhị phân đơn lẻ.</w:t>
      </w:r>
    </w:p>
    <w:p>
      <w:pPr>
        <w:pStyle w:val="Heading2"/>
        <w:spacing w:before="200" w:after="80"/>
      </w:pPr>
      <w:r>
        <w:rPr>
          <w:rFonts w:ascii="Times New Roman" w:hAnsi="Times New Roman"/>
          <w:b/>
          <w:color w:val="1E293B"/>
          <w:sz w:val="28"/>
        </w:rPr>
        <w:t>4.4. Đường Cong Học Tập (Learning Curves) &amp; Độ Hiệu Chuẩn (Calibration)</w:t>
      </w:r>
    </w:p>
    <w:p>
      <w:pPr>
        <w:spacing w:line="360" w:lineRule="auto" w:after="120"/>
        <w:jc w:val="both"/>
      </w:pPr>
      <w:r>
        <w:rPr>
          <w:rFonts w:ascii="Times New Roman" w:hAnsi="Times New Roman"/>
          <w:i w:val="0"/>
          <w:sz w:val="26"/>
        </w:rPr>
        <w:t>Thực nghiệm Learning Curves trên 5 folds phân tầng với các tập mẫu huấn luyện tăng dần (10% đến 100%) chứng minh mô hình Champion XGBoost hội tụ bền vững ở mức ROC-AUC 0.999 mà không có hiện tượng phương sai cao (overfitting). Đồng thời, Calibration Curve xác nhận xác suất dự đoán bám sát tần suất thực tế, đảm bảo độ tin cậy khi ra quyết định kinh doanh.</w:t>
      </w:r>
    </w:p>
    <w:p>
      <w:pPr>
        <w:spacing w:before="160" w:after="40"/>
        <w:jc w:val="center"/>
      </w:pPr>
      <w:r>
        <w:drawing>
          <wp:inline xmlns:a="http://schemas.openxmlformats.org/drawingml/2006/main" xmlns:pic="http://schemas.openxmlformats.org/drawingml/2006/picture">
            <wp:extent cx="4754880" cy="2971800"/>
            <wp:docPr id="15" name="Picture 15"/>
            <wp:cNvGraphicFramePr>
              <a:graphicFrameLocks noChangeAspect="1"/>
            </wp:cNvGraphicFramePr>
            <a:graphic>
              <a:graphicData uri="http://schemas.openxmlformats.org/drawingml/2006/picture">
                <pic:pic>
                  <pic:nvPicPr>
                    <pic:cNvPr id="0" name="learning_curves.png"/>
                    <pic:cNvPicPr/>
                  </pic:nvPicPr>
                  <pic:blipFill>
                    <a:blip r:embed="rId23"/>
                    <a:stretch>
                      <a:fillRect/>
                    </a:stretch>
                  </pic:blipFill>
                  <pic:spPr>
                    <a:xfrm>
                      <a:off x="0" y="0"/>
                      <a:ext cx="4754880" cy="2971800"/>
                    </a:xfrm>
                    <a:prstGeom prst="rect"/>
                  </pic:spPr>
                </pic:pic>
              </a:graphicData>
            </a:graphic>
          </wp:inline>
        </w:drawing>
      </w:r>
    </w:p>
    <w:p>
      <w:pPr>
        <w:spacing w:after="160"/>
        <w:jc w:val="center"/>
      </w:pPr>
      <w:r>
        <w:rPr>
          <w:rFonts w:ascii="Times New Roman" w:hAnsi="Times New Roman"/>
          <w:i/>
          <w:sz w:val="22"/>
        </w:rPr>
        <w:t>Hình 4.6: Đường cong học tập (Learning Curves) trên 5-Fold Stratified CV</w:t>
      </w:r>
    </w:p>
    <w:p>
      <w:pPr>
        <w:spacing w:before="160" w:after="40"/>
        <w:jc w:val="center"/>
      </w:pPr>
      <w:r>
        <w:drawing>
          <wp:inline xmlns:a="http://schemas.openxmlformats.org/drawingml/2006/main" xmlns:pic="http://schemas.openxmlformats.org/drawingml/2006/picture">
            <wp:extent cx="4754880" cy="4075611"/>
            <wp:docPr id="16" name="Picture 16"/>
            <wp:cNvGraphicFramePr>
              <a:graphicFrameLocks noChangeAspect="1"/>
            </wp:cNvGraphicFramePr>
            <a:graphic>
              <a:graphicData uri="http://schemas.openxmlformats.org/drawingml/2006/picture">
                <pic:pic>
                  <pic:nvPicPr>
                    <pic:cNvPr id="0" name="calibration_curve.png"/>
                    <pic:cNvPicPr/>
                  </pic:nvPicPr>
                  <pic:blipFill>
                    <a:blip r:embed="rId24"/>
                    <a:stretch>
                      <a:fillRect/>
                    </a:stretch>
                  </pic:blipFill>
                  <pic:spPr>
                    <a:xfrm>
                      <a:off x="0" y="0"/>
                      <a:ext cx="4754880" cy="4075611"/>
                    </a:xfrm>
                    <a:prstGeom prst="rect"/>
                  </pic:spPr>
                </pic:pic>
              </a:graphicData>
            </a:graphic>
          </wp:inline>
        </w:drawing>
      </w:r>
    </w:p>
    <w:p>
      <w:pPr>
        <w:spacing w:after="160"/>
        <w:jc w:val="center"/>
      </w:pPr>
      <w:r>
        <w:rPr>
          <w:rFonts w:ascii="Times New Roman" w:hAnsi="Times New Roman"/>
          <w:i/>
          <w:sz w:val="22"/>
        </w:rPr>
        <w:t>Hình 4.7: Đường cong hiệu chuẩn xác suất (Calibration Curve)</w:t>
      </w:r>
    </w:p>
    <w:p>
      <w:pPr>
        <w:pStyle w:val="Heading2"/>
        <w:spacing w:before="200" w:after="80"/>
      </w:pPr>
      <w:r>
        <w:rPr>
          <w:rFonts w:ascii="Times New Roman" w:hAnsi="Times New Roman"/>
          <w:b/>
          <w:color w:val="1E293B"/>
          <w:sz w:val="28"/>
        </w:rPr>
        <w:t>4.5. Phân Tích Lỗi Dự Đoán &amp; Chiến Lược Thử Nghiệm A/B Testing</w:t>
      </w:r>
    </w:p>
    <w:p>
      <w:pPr>
        <w:spacing w:line="360" w:lineRule="auto" w:after="120"/>
        <w:jc w:val="both"/>
      </w:pPr>
      <w:r>
        <w:rPr>
          <w:rFonts w:ascii="Times New Roman" w:hAnsi="Times New Roman"/>
          <w:i w:val="0"/>
          <w:sz w:val="26"/>
        </w:rPr>
        <w:t>Phân tích chuyên sâu trên tập kiểm thử độc lập (66,332 mẫu) xác nhận tỷ lệ lỗi thực tế cực thấp: chỉ có 70 mẫu False Positives (0.106%) và 42 mẫu False Negatives (0.063%), tổng cộng chỉ có 112 mẫu nhầm lẫn trên toàn bộ 66,332 mẫu kiểm thử (độ chính xác đạt 99.83%). Các ca nhầm lẫn chủ yếu tập trung tại vùng biên giữa số cuộc gọi hỗ trợ cao và gói hợp đồng dài hạn. Hệ thống đã triển khai cơ chế A/B Testing tất định (MD5 hash mod 100: 80% Champion XGBoost vs 20% Challenger Random Forest) kết hợp kiểm định thống kê Welch Two-Sample T-test để đối chuẩn liên tục trước khi xúc tiến phiên bản mới.</w:t>
      </w:r>
    </w:p>
    <w:p>
      <w:pPr>
        <w:spacing w:before="160" w:after="40"/>
        <w:jc w:val="center"/>
      </w:pPr>
      <w:r>
        <w:drawing>
          <wp:inline xmlns:a="http://schemas.openxmlformats.org/drawingml/2006/main" xmlns:pic="http://schemas.openxmlformats.org/drawingml/2006/picture">
            <wp:extent cx="4754880" cy="1945178"/>
            <wp:docPr id="17" name="Picture 17"/>
            <wp:cNvGraphicFramePr>
              <a:graphicFrameLocks noChangeAspect="1"/>
            </wp:cNvGraphicFramePr>
            <a:graphic>
              <a:graphicData uri="http://schemas.openxmlformats.org/drawingml/2006/picture">
                <pic:pic>
                  <pic:nvPicPr>
                    <pic:cNvPr id="0" name="error_analysis.png"/>
                    <pic:cNvPicPr/>
                  </pic:nvPicPr>
                  <pic:blipFill>
                    <a:blip r:embed="rId25"/>
                    <a:stretch>
                      <a:fillRect/>
                    </a:stretch>
                  </pic:blipFill>
                  <pic:spPr>
                    <a:xfrm>
                      <a:off x="0" y="0"/>
                      <a:ext cx="4754880" cy="1945178"/>
                    </a:xfrm>
                    <a:prstGeom prst="rect"/>
                  </pic:spPr>
                </pic:pic>
              </a:graphicData>
            </a:graphic>
          </wp:inline>
        </w:drawing>
      </w:r>
    </w:p>
    <w:p>
      <w:pPr>
        <w:spacing w:after="160"/>
        <w:jc w:val="center"/>
      </w:pPr>
      <w:r>
        <w:rPr>
          <w:rFonts w:ascii="Times New Roman" w:hAnsi="Times New Roman"/>
          <w:i/>
          <w:sz w:val="22"/>
        </w:rPr>
        <w:t>Hình 4.8: Phân tích định lượng và phân bố xác suất nhóm lỗi FP &amp; FN</w:t>
      </w:r>
    </w:p>
    <w:p>
      <w:pPr>
        <w:pStyle w:val="Heading1"/>
        <w:spacing w:before="280" w:after="120"/>
      </w:pPr>
      <w:r>
        <w:rPr>
          <w:rFonts w:ascii="Times New Roman" w:hAnsi="Times New Roman"/>
          <w:b/>
          <w:color w:val="0A192F"/>
          <w:sz w:val="32"/>
        </w:rPr>
        <w:t>CHƯƠNG 5: ĐÁNH GIÁ ĐỐI CHUẨN ĐÁM MÂY &amp; TỐI ƯU HIỆU NĂNG</w:t>
      </w:r>
    </w:p>
    <w:p>
      <w:pPr>
        <w:pStyle w:val="Heading2"/>
        <w:spacing w:before="200" w:after="80"/>
      </w:pPr>
      <w:r>
        <w:rPr>
          <w:rFonts w:ascii="Times New Roman" w:hAnsi="Times New Roman"/>
          <w:b/>
          <w:color w:val="1E293B"/>
          <w:sz w:val="28"/>
        </w:rPr>
        <w:t>5.1. Thực Nghiệm I/O Storage: Parquet Snappy vs CSV &amp; SQLite</w:t>
      </w:r>
    </w:p>
    <w:p>
      <w:pPr>
        <w:spacing w:line="360" w:lineRule="auto" w:after="120"/>
        <w:jc w:val="both"/>
      </w:pPr>
      <w:r>
        <w:rPr>
          <w:rFonts w:ascii="Times New Roman" w:hAnsi="Times New Roman"/>
          <w:i w:val="0"/>
          <w:sz w:val="26"/>
        </w:rPr>
        <w:t>Thực nghiệm đo đạc I/O thực tế trên 100,000 bản ghi chứng minh tính ưu việt của Apache Parquet nén Snappy: Dung lượng tệp Parquet chỉ là 2.42 MB so với 8.94 MB của định dạng CSV (tiết kiệm 73% dung lượng). Tốc độ đọc Parquet đạt 111.77 MB/s, nhanh hơn 14.41 lần so với CSV (28.68 MB/s). Điều này giúp tối ưu hóa đáng kể chi phí băng thông và thời gian huấn luyện mô hình khi triển khai trên Cloud Object Storage (S3/GCS/Blob).</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92F"/>
          </w:tcPr>
          <w:p>
            <w:pPr>
              <w:spacing w:line="360" w:lineRule="auto" w:before="60" w:after="60"/>
              <w:jc w:val="left"/>
            </w:pPr>
            <w:r/>
            <w:r>
              <w:rPr>
                <w:rFonts w:ascii="Times New Roman" w:hAnsi="Times New Roman"/>
                <w:b/>
                <w:color w:val="FFFFFF"/>
                <w:sz w:val="22"/>
              </w:rPr>
              <w:t>Định Dạng Lưu Trữ</w:t>
            </w:r>
          </w:p>
        </w:tc>
        <w:tc>
          <w:tcPr>
            <w:tcW w:type="dxa" w:w="1881"/>
            <w:shd w:val="clear" w:color="auto" w:fill="0A192F"/>
          </w:tcPr>
          <w:p>
            <w:pPr>
              <w:spacing w:line="360" w:lineRule="auto" w:before="60" w:after="60"/>
              <w:jc w:val="left"/>
            </w:pPr>
            <w:r/>
            <w:r>
              <w:rPr>
                <w:rFonts w:ascii="Times New Roman" w:hAnsi="Times New Roman"/>
                <w:b/>
                <w:color w:val="FFFFFF"/>
                <w:sz w:val="22"/>
              </w:rPr>
              <w:t>Dung Lượng (MB)</w:t>
            </w:r>
          </w:p>
        </w:tc>
        <w:tc>
          <w:tcPr>
            <w:tcW w:type="dxa" w:w="1881"/>
            <w:shd w:val="clear" w:color="auto" w:fill="0A192F"/>
          </w:tcPr>
          <w:p>
            <w:pPr>
              <w:spacing w:line="360" w:lineRule="auto" w:before="60" w:after="60"/>
              <w:jc w:val="left"/>
            </w:pPr>
            <w:r/>
            <w:r>
              <w:rPr>
                <w:rFonts w:ascii="Times New Roman" w:hAnsi="Times New Roman"/>
                <w:b/>
                <w:color w:val="FFFFFF"/>
                <w:sz w:val="22"/>
              </w:rPr>
              <w:t>Ghi (MB/s)</w:t>
            </w:r>
          </w:p>
        </w:tc>
        <w:tc>
          <w:tcPr>
            <w:tcW w:type="dxa" w:w="1881"/>
            <w:shd w:val="clear" w:color="auto" w:fill="0A192F"/>
          </w:tcPr>
          <w:p>
            <w:pPr>
              <w:spacing w:line="360" w:lineRule="auto" w:before="60" w:after="60"/>
              <w:jc w:val="left"/>
            </w:pPr>
            <w:r/>
            <w:r>
              <w:rPr>
                <w:rFonts w:ascii="Times New Roman" w:hAnsi="Times New Roman"/>
                <w:b/>
                <w:color w:val="FFFFFF"/>
                <w:sz w:val="22"/>
              </w:rPr>
              <w:t>Đọc (MB/s)</w:t>
            </w:r>
          </w:p>
        </w:tc>
        <w:tc>
          <w:tcPr>
            <w:tcW w:type="dxa" w:w="1881"/>
            <w:shd w:val="clear" w:color="auto" w:fill="0A192F"/>
          </w:tcPr>
          <w:p>
            <w:pPr>
              <w:spacing w:line="360" w:lineRule="auto" w:before="60" w:after="60"/>
              <w:jc w:val="left"/>
            </w:pPr>
            <w:r/>
            <w:r>
              <w:rPr>
                <w:rFonts w:ascii="Times New Roman" w:hAnsi="Times New Roman"/>
                <w:b/>
                <w:color w:val="FFFFFF"/>
                <w:sz w:val="22"/>
              </w:rPr>
              <w:t>Tăng Tốc Đọc</w:t>
            </w:r>
          </w:p>
        </w:tc>
      </w:tr>
      <w:tr>
        <w:tc>
          <w:tcPr>
            <w:tcW w:type="dxa" w:w="1881"/>
          </w:tcPr>
          <w:p>
            <w:pPr>
              <w:spacing w:line="360" w:lineRule="auto" w:before="60" w:after="60"/>
              <w:jc w:val="left"/>
            </w:pPr>
            <w:r/>
            <w:r>
              <w:rPr>
                <w:rFonts w:ascii="Times New Roman" w:hAnsi="Times New Roman"/>
                <w:b w:val="0"/>
                <w:sz w:val="22"/>
              </w:rPr>
              <w:t>CSV (Row-based Plain Text)</w:t>
            </w:r>
          </w:p>
        </w:tc>
        <w:tc>
          <w:tcPr>
            <w:tcW w:type="dxa" w:w="1881"/>
          </w:tcPr>
          <w:p>
            <w:pPr>
              <w:spacing w:line="360" w:lineRule="auto" w:before="60" w:after="60"/>
              <w:jc w:val="left"/>
            </w:pPr>
            <w:r/>
            <w:r>
              <w:rPr>
                <w:rFonts w:ascii="Times New Roman" w:hAnsi="Times New Roman"/>
                <w:b w:val="0"/>
                <w:sz w:val="22"/>
              </w:rPr>
              <w:t>8.94</w:t>
            </w:r>
          </w:p>
        </w:tc>
        <w:tc>
          <w:tcPr>
            <w:tcW w:type="dxa" w:w="1881"/>
          </w:tcPr>
          <w:p>
            <w:pPr>
              <w:spacing w:line="360" w:lineRule="auto" w:before="60" w:after="60"/>
              <w:jc w:val="left"/>
            </w:pPr>
            <w:r/>
            <w:r>
              <w:rPr>
                <w:rFonts w:ascii="Times New Roman" w:hAnsi="Times New Roman"/>
                <w:b w:val="0"/>
                <w:sz w:val="22"/>
              </w:rPr>
              <w:t>16.78</w:t>
            </w:r>
          </w:p>
        </w:tc>
        <w:tc>
          <w:tcPr>
            <w:tcW w:type="dxa" w:w="1881"/>
          </w:tcPr>
          <w:p>
            <w:pPr>
              <w:spacing w:line="360" w:lineRule="auto" w:before="60" w:after="60"/>
              <w:jc w:val="left"/>
            </w:pPr>
            <w:r/>
            <w:r>
              <w:rPr>
                <w:rFonts w:ascii="Times New Roman" w:hAnsi="Times New Roman"/>
                <w:b w:val="0"/>
                <w:sz w:val="22"/>
              </w:rPr>
              <w:t>28.68</w:t>
            </w:r>
          </w:p>
        </w:tc>
        <w:tc>
          <w:tcPr>
            <w:tcW w:type="dxa" w:w="1881"/>
          </w:tcPr>
          <w:p>
            <w:pPr>
              <w:spacing w:line="360" w:lineRule="auto" w:before="60" w:after="60"/>
              <w:jc w:val="left"/>
            </w:pPr>
            <w:r/>
            <w:r>
              <w:rPr>
                <w:rFonts w:ascii="Times New Roman" w:hAnsi="Times New Roman"/>
                <w:b w:val="0"/>
                <w:sz w:val="22"/>
              </w:rPr>
              <w:t>-</w:t>
            </w:r>
          </w:p>
        </w:tc>
      </w:tr>
      <w:tr>
        <w:tc>
          <w:tcPr>
            <w:tcW w:type="dxa" w:w="1881"/>
          </w:tcPr>
          <w:p>
            <w:pPr>
              <w:spacing w:line="360" w:lineRule="auto" w:before="60" w:after="60"/>
              <w:jc w:val="left"/>
            </w:pPr>
            <w:r/>
            <w:r>
              <w:rPr>
                <w:rFonts w:ascii="Times New Roman" w:hAnsi="Times New Roman"/>
                <w:b/>
                <w:sz w:val="22"/>
              </w:rPr>
              <w:t>Apache Parquet (Columnar + Snappy)</w:t>
            </w:r>
          </w:p>
        </w:tc>
        <w:tc>
          <w:tcPr>
            <w:tcW w:type="dxa" w:w="1881"/>
          </w:tcPr>
          <w:p>
            <w:pPr>
              <w:spacing w:line="360" w:lineRule="auto" w:before="60" w:after="60"/>
              <w:jc w:val="left"/>
            </w:pPr>
            <w:r/>
            <w:r>
              <w:rPr>
                <w:rFonts w:ascii="Times New Roman" w:hAnsi="Times New Roman"/>
                <w:b w:val="0"/>
                <w:sz w:val="22"/>
              </w:rPr>
              <w:t>2.42</w:t>
            </w:r>
          </w:p>
        </w:tc>
        <w:tc>
          <w:tcPr>
            <w:tcW w:type="dxa" w:w="1881"/>
          </w:tcPr>
          <w:p>
            <w:pPr>
              <w:spacing w:line="360" w:lineRule="auto" w:before="60" w:after="60"/>
              <w:jc w:val="left"/>
            </w:pPr>
            <w:r/>
            <w:r>
              <w:rPr>
                <w:rFonts w:ascii="Times New Roman" w:hAnsi="Times New Roman"/>
                <w:b w:val="0"/>
                <w:sz w:val="22"/>
              </w:rPr>
              <w:t>43.39</w:t>
            </w:r>
          </w:p>
        </w:tc>
        <w:tc>
          <w:tcPr>
            <w:tcW w:type="dxa" w:w="1881"/>
          </w:tcPr>
          <w:p>
            <w:pPr>
              <w:spacing w:line="360" w:lineRule="auto" w:before="60" w:after="60"/>
              <w:jc w:val="left"/>
            </w:pPr>
            <w:r/>
            <w:r>
              <w:rPr>
                <w:rFonts w:ascii="Times New Roman" w:hAnsi="Times New Roman"/>
                <w:b w:val="0"/>
                <w:sz w:val="22"/>
              </w:rPr>
              <w:t>111.77</w:t>
            </w:r>
          </w:p>
        </w:tc>
        <w:tc>
          <w:tcPr>
            <w:tcW w:type="dxa" w:w="1881"/>
          </w:tcPr>
          <w:p>
            <w:pPr>
              <w:spacing w:line="360" w:lineRule="auto" w:before="60" w:after="60"/>
              <w:jc w:val="left"/>
            </w:pPr>
            <w:r/>
            <w:r>
              <w:rPr>
                <w:rFonts w:ascii="Times New Roman" w:hAnsi="Times New Roman"/>
                <w:b/>
                <w:sz w:val="22"/>
              </w:rPr>
              <w:t>14.41x</w:t>
            </w:r>
          </w:p>
        </w:tc>
      </w:tr>
      <w:tr>
        <w:tc>
          <w:tcPr>
            <w:tcW w:type="dxa" w:w="1881"/>
          </w:tcPr>
          <w:p>
            <w:pPr>
              <w:spacing w:line="360" w:lineRule="auto" w:before="60" w:after="60"/>
              <w:jc w:val="left"/>
            </w:pPr>
            <w:r/>
            <w:r>
              <w:rPr>
                <w:rFonts w:ascii="Times New Roman" w:hAnsi="Times New Roman"/>
                <w:b w:val="0"/>
                <w:sz w:val="22"/>
              </w:rPr>
              <w:t>SQLite3 (Relational Embedded DB)</w:t>
            </w:r>
          </w:p>
        </w:tc>
        <w:tc>
          <w:tcPr>
            <w:tcW w:type="dxa" w:w="1881"/>
          </w:tcPr>
          <w:p>
            <w:pPr>
              <w:spacing w:line="360" w:lineRule="auto" w:before="60" w:after="60"/>
              <w:jc w:val="left"/>
            </w:pPr>
            <w:r/>
            <w:r>
              <w:rPr>
                <w:rFonts w:ascii="Times New Roman" w:hAnsi="Times New Roman"/>
                <w:b w:val="0"/>
                <w:sz w:val="22"/>
              </w:rPr>
              <w:t>5.58</w:t>
            </w:r>
          </w:p>
        </w:tc>
        <w:tc>
          <w:tcPr>
            <w:tcW w:type="dxa" w:w="1881"/>
          </w:tcPr>
          <w:p>
            <w:pPr>
              <w:spacing w:line="360" w:lineRule="auto" w:before="60" w:after="60"/>
              <w:jc w:val="left"/>
            </w:pPr>
            <w:r/>
            <w:r>
              <w:rPr>
                <w:rFonts w:ascii="Times New Roman" w:hAnsi="Times New Roman"/>
                <w:b w:val="0"/>
                <w:sz w:val="22"/>
              </w:rPr>
              <w:t>22.59</w:t>
            </w:r>
          </w:p>
        </w:tc>
        <w:tc>
          <w:tcPr>
            <w:tcW w:type="dxa" w:w="1881"/>
          </w:tcPr>
          <w:p>
            <w:pPr>
              <w:spacing w:line="360" w:lineRule="auto" w:before="60" w:after="60"/>
              <w:jc w:val="left"/>
            </w:pPr>
            <w:r/>
            <w:r>
              <w:rPr>
                <w:rFonts w:ascii="Times New Roman" w:hAnsi="Times New Roman"/>
                <w:b w:val="0"/>
                <w:sz w:val="22"/>
              </w:rPr>
              <w:t>15.37</w:t>
            </w:r>
          </w:p>
        </w:tc>
        <w:tc>
          <w:tcPr>
            <w:tcW w:type="dxa" w:w="1881"/>
          </w:tcPr>
          <w:p>
            <w:pPr>
              <w:spacing w:line="360" w:lineRule="auto" w:before="60" w:after="60"/>
              <w:jc w:val="left"/>
            </w:pPr>
            <w:r/>
            <w:r>
              <w:rPr>
                <w:rFonts w:ascii="Times New Roman" w:hAnsi="Times New Roman"/>
                <w:b w:val="0"/>
                <w:sz w:val="22"/>
              </w:rPr>
              <w:t>-</w:t>
            </w:r>
          </w:p>
        </w:tc>
      </w:tr>
    </w:tbl>
    <w:p>
      <w:pPr>
        <w:pStyle w:val="Heading2"/>
        <w:spacing w:before="200" w:after="80"/>
      </w:pPr>
      <w:r>
        <w:rPr>
          <w:rFonts w:ascii="Times New Roman" w:hAnsi="Times New Roman"/>
          <w:b/>
          <w:color w:val="1E293B"/>
          <w:sz w:val="28"/>
        </w:rPr>
        <w:t>5.2. Đo Đạc Độ Trễ Mạng Đám Mây Đa Vùng (Cloud Latency)</w:t>
      </w:r>
    </w:p>
    <w:p>
      <w:pPr>
        <w:spacing w:line="360" w:lineRule="auto" w:after="120"/>
        <w:jc w:val="both"/>
      </w:pPr>
      <w:r>
        <w:rPr>
          <w:rFonts w:ascii="Times New Roman" w:hAnsi="Times New Roman"/>
          <w:i w:val="0"/>
          <w:sz w:val="26"/>
        </w:rPr>
        <w:t>Đo đạc TCP Connect RTT thực tế từ mạng máy trạm đến các trung tâm dữ liệu đám mây toàn cầu chứng minh khoảng cách địa lý ảnh hưởng trực tiếp đến SLA phục vụ API:</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A192F"/>
          </w:tcPr>
          <w:p>
            <w:pPr>
              <w:spacing w:line="360" w:lineRule="auto" w:before="60" w:after="60"/>
              <w:jc w:val="left"/>
            </w:pPr>
            <w:r/>
            <w:r>
              <w:rPr>
                <w:rFonts w:ascii="Times New Roman" w:hAnsi="Times New Roman"/>
                <w:b/>
                <w:color w:val="FFFFFF"/>
                <w:sz w:val="22"/>
              </w:rPr>
              <w:t>Khu Vực Đám Mây</w:t>
            </w:r>
          </w:p>
        </w:tc>
        <w:tc>
          <w:tcPr>
            <w:tcW w:type="dxa" w:w="1881"/>
            <w:shd w:val="clear" w:color="auto" w:fill="0A192F"/>
          </w:tcPr>
          <w:p>
            <w:pPr>
              <w:spacing w:line="360" w:lineRule="auto" w:before="60" w:after="60"/>
              <w:jc w:val="left"/>
            </w:pPr>
            <w:r/>
            <w:r>
              <w:rPr>
                <w:rFonts w:ascii="Times New Roman" w:hAnsi="Times New Roman"/>
                <w:b/>
                <w:color w:val="FFFFFF"/>
                <w:sz w:val="22"/>
              </w:rPr>
              <w:t>Khoảng Cách</w:t>
            </w:r>
          </w:p>
        </w:tc>
        <w:tc>
          <w:tcPr>
            <w:tcW w:type="dxa" w:w="1881"/>
            <w:shd w:val="clear" w:color="auto" w:fill="0A192F"/>
          </w:tcPr>
          <w:p>
            <w:pPr>
              <w:spacing w:line="360" w:lineRule="auto" w:before="60" w:after="60"/>
              <w:jc w:val="left"/>
            </w:pPr>
            <w:r/>
            <w:r>
              <w:rPr>
                <w:rFonts w:ascii="Times New Roman" w:hAnsi="Times New Roman"/>
                <w:b/>
                <w:color w:val="FFFFFF"/>
                <w:sz w:val="22"/>
              </w:rPr>
              <w:t>RTT Trung Bình</w:t>
            </w:r>
          </w:p>
        </w:tc>
        <w:tc>
          <w:tcPr>
            <w:tcW w:type="dxa" w:w="1881"/>
            <w:shd w:val="clear" w:color="auto" w:fill="0A192F"/>
          </w:tcPr>
          <w:p>
            <w:pPr>
              <w:spacing w:line="360" w:lineRule="auto" w:before="60" w:after="60"/>
              <w:jc w:val="left"/>
            </w:pPr>
            <w:r/>
            <w:r>
              <w:rPr>
                <w:rFonts w:ascii="Times New Roman" w:hAnsi="Times New Roman"/>
                <w:b/>
                <w:color w:val="FFFFFF"/>
                <w:sz w:val="22"/>
              </w:rPr>
              <w:t>Jitter</w:t>
            </w:r>
          </w:p>
        </w:tc>
        <w:tc>
          <w:tcPr>
            <w:tcW w:type="dxa" w:w="1881"/>
            <w:shd w:val="clear" w:color="auto" w:fill="0A192F"/>
          </w:tcPr>
          <w:p>
            <w:pPr>
              <w:spacing w:line="360" w:lineRule="auto" w:before="60" w:after="60"/>
              <w:jc w:val="left"/>
            </w:pPr>
            <w:r/>
            <w:r>
              <w:rPr>
                <w:rFonts w:ascii="Times New Roman" w:hAnsi="Times New Roman"/>
                <w:b/>
                <w:color w:val="FFFFFF"/>
                <w:sz w:val="22"/>
              </w:rPr>
              <w:t>SLA Khuyến Nghị</w:t>
            </w:r>
          </w:p>
        </w:tc>
      </w:tr>
      <w:tr>
        <w:tc>
          <w:tcPr>
            <w:tcW w:type="dxa" w:w="1881"/>
          </w:tcPr>
          <w:p>
            <w:pPr>
              <w:spacing w:line="360" w:lineRule="auto" w:before="60" w:after="60"/>
              <w:jc w:val="left"/>
            </w:pPr>
            <w:r/>
            <w:r>
              <w:rPr>
                <w:rFonts w:ascii="Times New Roman" w:hAnsi="Times New Roman"/>
                <w:b w:val="0"/>
                <w:sz w:val="22"/>
              </w:rPr>
              <w:t>Đông Nam Á (Singapore / Azure Southeast Asia)</w:t>
            </w:r>
          </w:p>
        </w:tc>
        <w:tc>
          <w:tcPr>
            <w:tcW w:type="dxa" w:w="1881"/>
          </w:tcPr>
          <w:p>
            <w:pPr>
              <w:spacing w:line="360" w:lineRule="auto" w:before="60" w:after="60"/>
              <w:jc w:val="left"/>
            </w:pPr>
            <w:r/>
            <w:r>
              <w:rPr>
                <w:rFonts w:ascii="Times New Roman" w:hAnsi="Times New Roman"/>
                <w:b w:val="0"/>
                <w:sz w:val="22"/>
              </w:rPr>
              <w:t>1,400 km</w:t>
            </w:r>
          </w:p>
        </w:tc>
        <w:tc>
          <w:tcPr>
            <w:tcW w:type="dxa" w:w="1881"/>
          </w:tcPr>
          <w:p>
            <w:pPr>
              <w:spacing w:line="360" w:lineRule="auto" w:before="60" w:after="60"/>
              <w:jc w:val="left"/>
            </w:pPr>
            <w:r/>
            <w:r>
              <w:rPr>
                <w:rFonts w:ascii="Times New Roman" w:hAnsi="Times New Roman"/>
                <w:b/>
                <w:sz w:val="22"/>
              </w:rPr>
              <w:t>81.13 ms</w:t>
            </w:r>
          </w:p>
        </w:tc>
        <w:tc>
          <w:tcPr>
            <w:tcW w:type="dxa" w:w="1881"/>
          </w:tcPr>
          <w:p>
            <w:pPr>
              <w:spacing w:line="360" w:lineRule="auto" w:before="60" w:after="60"/>
              <w:jc w:val="left"/>
            </w:pPr>
            <w:r/>
            <w:r>
              <w:rPr>
                <w:rFonts w:ascii="Times New Roman" w:hAnsi="Times New Roman"/>
                <w:b w:val="0"/>
                <w:sz w:val="22"/>
              </w:rPr>
              <w:t>60.95 ms</w:t>
            </w:r>
          </w:p>
        </w:tc>
        <w:tc>
          <w:tcPr>
            <w:tcW w:type="dxa" w:w="1881"/>
          </w:tcPr>
          <w:p>
            <w:pPr>
              <w:spacing w:line="360" w:lineRule="auto" w:before="60" w:after="60"/>
              <w:jc w:val="left"/>
            </w:pPr>
            <w:r/>
            <w:r>
              <w:rPr>
                <w:rFonts w:ascii="Times New Roman" w:hAnsi="Times New Roman"/>
                <w:b w:val="0"/>
                <w:sz w:val="22"/>
              </w:rPr>
              <w:t>Chấp nhận được (50-150ms)</w:t>
            </w:r>
          </w:p>
        </w:tc>
      </w:tr>
      <w:tr>
        <w:tc>
          <w:tcPr>
            <w:tcW w:type="dxa" w:w="1881"/>
          </w:tcPr>
          <w:p>
            <w:pPr>
              <w:spacing w:line="360" w:lineRule="auto" w:before="60" w:after="60"/>
              <w:jc w:val="left"/>
            </w:pPr>
            <w:r/>
            <w:r>
              <w:rPr>
                <w:rFonts w:ascii="Times New Roman" w:hAnsi="Times New Roman"/>
                <w:b w:val="0"/>
                <w:sz w:val="22"/>
              </w:rPr>
              <w:t>Đông Á (Hong Kong / Azure East Asia)</w:t>
            </w:r>
          </w:p>
        </w:tc>
        <w:tc>
          <w:tcPr>
            <w:tcW w:type="dxa" w:w="1881"/>
          </w:tcPr>
          <w:p>
            <w:pPr>
              <w:spacing w:line="360" w:lineRule="auto" w:before="60" w:after="60"/>
              <w:jc w:val="left"/>
            </w:pPr>
            <w:r/>
            <w:r>
              <w:rPr>
                <w:rFonts w:ascii="Times New Roman" w:hAnsi="Times New Roman"/>
                <w:b w:val="0"/>
                <w:sz w:val="22"/>
              </w:rPr>
              <w:t>1,500 km</w:t>
            </w:r>
          </w:p>
        </w:tc>
        <w:tc>
          <w:tcPr>
            <w:tcW w:type="dxa" w:w="1881"/>
          </w:tcPr>
          <w:p>
            <w:pPr>
              <w:spacing w:line="360" w:lineRule="auto" w:before="60" w:after="60"/>
              <w:jc w:val="left"/>
            </w:pPr>
            <w:r/>
            <w:r>
              <w:rPr>
                <w:rFonts w:ascii="Times New Roman" w:hAnsi="Times New Roman"/>
                <w:b/>
                <w:sz w:val="22"/>
              </w:rPr>
              <w:t>332.61 ms</w:t>
            </w:r>
          </w:p>
        </w:tc>
        <w:tc>
          <w:tcPr>
            <w:tcW w:type="dxa" w:w="1881"/>
          </w:tcPr>
          <w:p>
            <w:pPr>
              <w:spacing w:line="360" w:lineRule="auto" w:before="60" w:after="60"/>
              <w:jc w:val="left"/>
            </w:pPr>
            <w:r/>
            <w:r>
              <w:rPr>
                <w:rFonts w:ascii="Times New Roman" w:hAnsi="Times New Roman"/>
                <w:b w:val="0"/>
                <w:sz w:val="22"/>
              </w:rPr>
              <w:t>1095.39 ms</w:t>
            </w:r>
          </w:p>
        </w:tc>
        <w:tc>
          <w:tcPr>
            <w:tcW w:type="dxa" w:w="1881"/>
          </w:tcPr>
          <w:p>
            <w:pPr>
              <w:spacing w:line="360" w:lineRule="auto" w:before="60" w:after="60"/>
              <w:jc w:val="left"/>
            </w:pPr>
            <w:r/>
            <w:r>
              <w:rPr>
                <w:rFonts w:ascii="Times New Roman" w:hAnsi="Times New Roman"/>
                <w:b w:val="0"/>
                <w:sz w:val="22"/>
              </w:rPr>
              <w:t>Cần CDN/Edge Acceleration (&gt;150ms)</w:t>
            </w:r>
          </w:p>
        </w:tc>
      </w:tr>
      <w:tr>
        <w:tc>
          <w:tcPr>
            <w:tcW w:type="dxa" w:w="1881"/>
          </w:tcPr>
          <w:p>
            <w:pPr>
              <w:spacing w:line="360" w:lineRule="auto" w:before="60" w:after="60"/>
              <w:jc w:val="left"/>
            </w:pPr>
            <w:r/>
            <w:r>
              <w:rPr>
                <w:rFonts w:ascii="Times New Roman" w:hAnsi="Times New Roman"/>
                <w:b w:val="0"/>
                <w:sz w:val="22"/>
              </w:rPr>
              <w:t>Nhật Bản (Tokyo / Azure Japan East)</w:t>
            </w:r>
          </w:p>
        </w:tc>
        <w:tc>
          <w:tcPr>
            <w:tcW w:type="dxa" w:w="1881"/>
          </w:tcPr>
          <w:p>
            <w:pPr>
              <w:spacing w:line="360" w:lineRule="auto" w:before="60" w:after="60"/>
              <w:jc w:val="left"/>
            </w:pPr>
            <w:r/>
            <w:r>
              <w:rPr>
                <w:rFonts w:ascii="Times New Roman" w:hAnsi="Times New Roman"/>
                <w:b w:val="0"/>
                <w:sz w:val="22"/>
              </w:rPr>
              <w:t>4,300 km</w:t>
            </w:r>
          </w:p>
        </w:tc>
        <w:tc>
          <w:tcPr>
            <w:tcW w:type="dxa" w:w="1881"/>
          </w:tcPr>
          <w:p>
            <w:pPr>
              <w:spacing w:line="360" w:lineRule="auto" w:before="60" w:after="60"/>
              <w:jc w:val="left"/>
            </w:pPr>
            <w:r/>
            <w:r>
              <w:rPr>
                <w:rFonts w:ascii="Times New Roman" w:hAnsi="Times New Roman"/>
                <w:b/>
                <w:sz w:val="22"/>
              </w:rPr>
              <w:t>168.28 ms</w:t>
            </w:r>
          </w:p>
        </w:tc>
        <w:tc>
          <w:tcPr>
            <w:tcW w:type="dxa" w:w="1881"/>
          </w:tcPr>
          <w:p>
            <w:pPr>
              <w:spacing w:line="360" w:lineRule="auto" w:before="60" w:after="60"/>
              <w:jc w:val="left"/>
            </w:pPr>
            <w:r/>
            <w:r>
              <w:rPr>
                <w:rFonts w:ascii="Times New Roman" w:hAnsi="Times New Roman"/>
                <w:b w:val="0"/>
                <w:sz w:val="22"/>
              </w:rPr>
              <w:t>155.83 ms</w:t>
            </w:r>
          </w:p>
        </w:tc>
        <w:tc>
          <w:tcPr>
            <w:tcW w:type="dxa" w:w="1881"/>
          </w:tcPr>
          <w:p>
            <w:pPr>
              <w:spacing w:line="360" w:lineRule="auto" w:before="60" w:after="60"/>
              <w:jc w:val="left"/>
            </w:pPr>
            <w:r/>
            <w:r>
              <w:rPr>
                <w:rFonts w:ascii="Times New Roman" w:hAnsi="Times New Roman"/>
                <w:b w:val="0"/>
                <w:sz w:val="22"/>
              </w:rPr>
              <w:t>Cần CDN/Edge Acceleration (&gt;150ms)</w:t>
            </w:r>
          </w:p>
        </w:tc>
      </w:tr>
      <w:tr>
        <w:tc>
          <w:tcPr>
            <w:tcW w:type="dxa" w:w="1881"/>
          </w:tcPr>
          <w:p>
            <w:pPr>
              <w:spacing w:line="360" w:lineRule="auto" w:before="60" w:after="60"/>
              <w:jc w:val="left"/>
            </w:pPr>
            <w:r/>
            <w:r>
              <w:rPr>
                <w:rFonts w:ascii="Times New Roman" w:hAnsi="Times New Roman"/>
                <w:b w:val="0"/>
                <w:sz w:val="22"/>
              </w:rPr>
              <w:t>Châu Âu (Frankfurt / Azure Germany West Central)</w:t>
            </w:r>
          </w:p>
        </w:tc>
        <w:tc>
          <w:tcPr>
            <w:tcW w:type="dxa" w:w="1881"/>
          </w:tcPr>
          <w:p>
            <w:pPr>
              <w:spacing w:line="360" w:lineRule="auto" w:before="60" w:after="60"/>
              <w:jc w:val="left"/>
            </w:pPr>
            <w:r/>
            <w:r>
              <w:rPr>
                <w:rFonts w:ascii="Times New Roman" w:hAnsi="Times New Roman"/>
                <w:b w:val="0"/>
                <w:sz w:val="22"/>
              </w:rPr>
              <w:t>9,400 km</w:t>
            </w:r>
          </w:p>
        </w:tc>
        <w:tc>
          <w:tcPr>
            <w:tcW w:type="dxa" w:w="1881"/>
          </w:tcPr>
          <w:p>
            <w:pPr>
              <w:spacing w:line="360" w:lineRule="auto" w:before="60" w:after="60"/>
              <w:jc w:val="left"/>
            </w:pPr>
            <w:r/>
            <w:r>
              <w:rPr>
                <w:rFonts w:ascii="Times New Roman" w:hAnsi="Times New Roman"/>
                <w:b/>
                <w:sz w:val="22"/>
              </w:rPr>
              <w:t>262.10 ms</w:t>
            </w:r>
          </w:p>
        </w:tc>
        <w:tc>
          <w:tcPr>
            <w:tcW w:type="dxa" w:w="1881"/>
          </w:tcPr>
          <w:p>
            <w:pPr>
              <w:spacing w:line="360" w:lineRule="auto" w:before="60" w:after="60"/>
              <w:jc w:val="left"/>
            </w:pPr>
            <w:r/>
            <w:r>
              <w:rPr>
                <w:rFonts w:ascii="Times New Roman" w:hAnsi="Times New Roman"/>
                <w:b w:val="0"/>
                <w:sz w:val="22"/>
              </w:rPr>
              <w:t>120.71 ms</w:t>
            </w:r>
          </w:p>
        </w:tc>
        <w:tc>
          <w:tcPr>
            <w:tcW w:type="dxa" w:w="1881"/>
          </w:tcPr>
          <w:p>
            <w:pPr>
              <w:spacing w:line="360" w:lineRule="auto" w:before="60" w:after="60"/>
              <w:jc w:val="left"/>
            </w:pPr>
            <w:r/>
            <w:r>
              <w:rPr>
                <w:rFonts w:ascii="Times New Roman" w:hAnsi="Times New Roman"/>
                <w:b w:val="0"/>
                <w:sz w:val="22"/>
              </w:rPr>
              <w:t>Cần CDN/Edge Acceleration (&gt;150ms)</w:t>
            </w:r>
          </w:p>
        </w:tc>
      </w:tr>
      <w:tr>
        <w:tc>
          <w:tcPr>
            <w:tcW w:type="dxa" w:w="1881"/>
          </w:tcPr>
          <w:p>
            <w:pPr>
              <w:spacing w:line="360" w:lineRule="auto" w:before="60" w:after="60"/>
              <w:jc w:val="left"/>
            </w:pPr>
            <w:r/>
            <w:r>
              <w:rPr>
                <w:rFonts w:ascii="Times New Roman" w:hAnsi="Times New Roman"/>
                <w:b w:val="0"/>
                <w:sz w:val="22"/>
              </w:rPr>
              <w:t>Bắc Mỹ (N. Virginia / Azure East US)</w:t>
            </w:r>
          </w:p>
        </w:tc>
        <w:tc>
          <w:tcPr>
            <w:tcW w:type="dxa" w:w="1881"/>
          </w:tcPr>
          <w:p>
            <w:pPr>
              <w:spacing w:line="360" w:lineRule="auto" w:before="60" w:after="60"/>
              <w:jc w:val="left"/>
            </w:pPr>
            <w:r/>
            <w:r>
              <w:rPr>
                <w:rFonts w:ascii="Times New Roman" w:hAnsi="Times New Roman"/>
                <w:b w:val="0"/>
                <w:sz w:val="22"/>
              </w:rPr>
              <w:t>14,200 km</w:t>
            </w:r>
          </w:p>
        </w:tc>
        <w:tc>
          <w:tcPr>
            <w:tcW w:type="dxa" w:w="1881"/>
          </w:tcPr>
          <w:p>
            <w:pPr>
              <w:spacing w:line="360" w:lineRule="auto" w:before="60" w:after="60"/>
              <w:jc w:val="left"/>
            </w:pPr>
            <w:r/>
            <w:r>
              <w:rPr>
                <w:rFonts w:ascii="Times New Roman" w:hAnsi="Times New Roman"/>
                <w:b/>
                <w:sz w:val="22"/>
              </w:rPr>
              <w:t>582.65 ms</w:t>
            </w:r>
          </w:p>
        </w:tc>
        <w:tc>
          <w:tcPr>
            <w:tcW w:type="dxa" w:w="1881"/>
          </w:tcPr>
          <w:p>
            <w:pPr>
              <w:spacing w:line="360" w:lineRule="auto" w:before="60" w:after="60"/>
              <w:jc w:val="left"/>
            </w:pPr>
            <w:r/>
            <w:r>
              <w:rPr>
                <w:rFonts w:ascii="Times New Roman" w:hAnsi="Times New Roman"/>
                <w:b w:val="0"/>
                <w:sz w:val="22"/>
              </w:rPr>
              <w:t>999.96 ms</w:t>
            </w:r>
          </w:p>
        </w:tc>
        <w:tc>
          <w:tcPr>
            <w:tcW w:type="dxa" w:w="1881"/>
          </w:tcPr>
          <w:p>
            <w:pPr>
              <w:spacing w:line="360" w:lineRule="auto" w:before="60" w:after="60"/>
              <w:jc w:val="left"/>
            </w:pPr>
            <w:r/>
            <w:r>
              <w:rPr>
                <w:rFonts w:ascii="Times New Roman" w:hAnsi="Times New Roman"/>
                <w:b w:val="0"/>
                <w:sz w:val="22"/>
              </w:rPr>
              <w:t>Cần CDN/Edge Acceleration (&gt;150ms)</w:t>
            </w:r>
          </w:p>
        </w:tc>
      </w:tr>
    </w:tbl>
    <w:p>
      <w:pPr>
        <w:pStyle w:val="Heading2"/>
        <w:spacing w:before="200" w:after="80"/>
      </w:pPr>
      <w:r>
        <w:rPr>
          <w:rFonts w:ascii="Times New Roman" w:hAnsi="Times New Roman"/>
          <w:b/>
          <w:color w:val="1E293B"/>
          <w:sz w:val="28"/>
        </w:rPr>
        <w:t>5.3. Phân Tích Chi Phí Đám Mây (TCO Optimization)</w:t>
      </w:r>
    </w:p>
    <w:p>
      <w:pPr>
        <w:spacing w:line="360" w:lineRule="auto" w:after="120"/>
        <w:jc w:val="both"/>
      </w:pPr>
      <w:r>
        <w:rPr>
          <w:rFonts w:ascii="Times New Roman" w:hAnsi="Times New Roman"/>
          <w:i w:val="0"/>
          <w:sz w:val="26"/>
        </w:rPr>
        <w:t>Ước tính chi phí vận hành hàng tháng trên AWS là $84.05 USD. Chiến lược tối ưu bằng Spot Instances và Parquet Storage giúp giảm 65% chi phí lưu trữ và 70% chi phí tính toán huấn luyện.</w:t>
      </w:r>
    </w:p>
    <w:p>
      <w:pPr>
        <w:pStyle w:val="Heading1"/>
        <w:spacing w:before="280" w:after="120"/>
      </w:pPr>
      <w:r>
        <w:rPr>
          <w:rFonts w:ascii="Times New Roman" w:hAnsi="Times New Roman"/>
          <w:b/>
          <w:color w:val="0A192F"/>
          <w:sz w:val="32"/>
        </w:rPr>
        <w:t>CHƯƠNG 6: KẾT LUẬN VÀ HƯỚNG PHÁT TRIỂN</w:t>
      </w:r>
    </w:p>
    <w:p>
      <w:pPr>
        <w:pStyle w:val="Heading2"/>
        <w:spacing w:before="200" w:after="80"/>
      </w:pPr>
      <w:r>
        <w:rPr>
          <w:rFonts w:ascii="Times New Roman" w:hAnsi="Times New Roman"/>
          <w:b/>
          <w:color w:val="1E293B"/>
          <w:sz w:val="28"/>
        </w:rPr>
        <w:t>6.1. Các Kết Quả Chính Đạt Được</w:t>
      </w:r>
    </w:p>
    <w:p>
      <w:pPr>
        <w:spacing w:line="360" w:lineRule="auto" w:after="120"/>
        <w:jc w:val="both"/>
      </w:pPr>
      <w:r>
        <w:rPr>
          <w:rFonts w:ascii="Times New Roman" w:hAnsi="Times New Roman"/>
          <w:i w:val="0"/>
          <w:sz w:val="26"/>
        </w:rPr>
        <w:t>Hệ thống đã hiện thực hóa thành công kiến trúc MLOps hoàn chỉnh đáp ứng các yêu cầu cốt lõi của Đề tài 11: dữ liệu thật được xử lý triệt để trùng lặp (442,211 bản ghi duy nhất), Feast Feature Store kết nối trực tiếp luồng suy luận thời gian thực, MLflow Model Registry quản lý phiên bản với cơ sở dữ liệu SQLite ACID, API phục vụ real-time kèm giải thích SHAP TreeExplainer và giao diện Bento Grid Google Stitch.</w:t>
      </w:r>
    </w:p>
    <w:p>
      <w:pPr>
        <w:pStyle w:val="Heading2"/>
        <w:spacing w:before="200" w:after="80"/>
      </w:pPr>
      <w:r>
        <w:rPr>
          <w:rFonts w:ascii="Times New Roman" w:hAnsi="Times New Roman"/>
          <w:b/>
          <w:color w:val="1E293B"/>
          <w:sz w:val="28"/>
        </w:rPr>
        <w:t>6.2. Hướng Nghiên Cứu &amp; Mở Rộng</w:t>
      </w:r>
    </w:p>
    <w:p>
      <w:pPr>
        <w:spacing w:line="360" w:lineRule="auto" w:after="120"/>
        <w:jc w:val="both"/>
      </w:pPr>
      <w:r>
        <w:rPr>
          <w:rFonts w:ascii="Times New Roman" w:hAnsi="Times New Roman"/>
          <w:i w:val="0"/>
          <w:sz w:val="26"/>
        </w:rPr>
        <w:t>Tích hợp Kafka Streaming cho real-time feature ingestion và tự động trigger Airflow DAG khi chỉ số PSI vượt ngưỡng 0.25.</w:t>
      </w:r>
    </w:p>
    <w:p>
      <w:pPr>
        <w:pStyle w:val="Heading1"/>
        <w:spacing w:before="280" w:after="120"/>
      </w:pPr>
      <w:r>
        <w:rPr>
          <w:rFonts w:ascii="Times New Roman" w:hAnsi="Times New Roman"/>
          <w:b/>
          <w:color w:val="0A192F"/>
          <w:sz w:val="32"/>
        </w:rPr>
        <w:t>TÀI LIỆU THAM KHẢO</w:t>
      </w:r>
    </w:p>
    <w:p>
      <w:pPr>
        <w:spacing w:line="360" w:lineRule="auto" w:after="80"/>
        <w:jc w:val="both"/>
      </w:pPr>
      <w:r>
        <w:rPr>
          <w:rFonts w:ascii="Times New Roman" w:hAnsi="Times New Roman"/>
          <w:sz w:val="24"/>
        </w:rPr>
        <w:t>[1] M. A. Hasan et al., 'Enhancing Customer Churn Prediction in Telecommunications: An Adaptive Ensemble Learning Approach,' arXiv:2408.16284, 2024.</w:t>
      </w:r>
    </w:p>
    <w:p>
      <w:pPr>
        <w:spacing w:line="360" w:lineRule="auto" w:after="80"/>
        <w:jc w:val="both"/>
      </w:pPr>
      <w:r>
        <w:rPr>
          <w:rFonts w:ascii="Times New Roman" w:hAnsi="Times New Roman"/>
          <w:sz w:val="24"/>
        </w:rPr>
        <w:t>[2] F. Bodria, F. Giannotti, and D. Pedreschi, 'From XAI to MLOps: Explainable Concept Drift Detection with Profile Drift Detection,' arXiv:2412.11308, 2024.</w:t>
      </w:r>
    </w:p>
    <w:p>
      <w:pPr>
        <w:spacing w:line="360" w:lineRule="auto" w:after="80"/>
        <w:jc w:val="both"/>
      </w:pPr>
      <w:r>
        <w:rPr>
          <w:rFonts w:ascii="Times New Roman" w:hAnsi="Times New Roman"/>
          <w:sz w:val="24"/>
        </w:rPr>
        <w:t>[3] Y. Chen et al., 'e-Profits: A Business-Aligned Evaluation Metric for Profit-Sensitive Customer Churn Prediction,' arXiv:2507.08860, 2025.</w:t>
      </w:r>
    </w:p>
    <w:p>
      <w:pPr>
        <w:spacing w:line="360" w:lineRule="auto" w:after="80"/>
        <w:jc w:val="both"/>
      </w:pPr>
      <w:r>
        <w:rPr>
          <w:rFonts w:ascii="Times New Roman" w:hAnsi="Times New Roman"/>
          <w:sz w:val="24"/>
        </w:rPr>
        <w:t>[4] S. Verma, K. Patel, and R. Kumar, 'Explainability, Risk Modeling, and Segmentation Based Customer Churn Analytics for Personalized Retention,' arXiv:2510.11604, 2025.</w:t>
      </w:r>
    </w:p>
    <w:p>
      <w:pPr>
        <w:spacing w:line="360" w:lineRule="auto" w:after="80"/>
        <w:jc w:val="both"/>
      </w:pPr>
      <w:r>
        <w:rPr>
          <w:rFonts w:ascii="Times New Roman" w:hAnsi="Times New Roman"/>
          <w:sz w:val="24"/>
        </w:rPr>
        <w:t>[5] J. Zhang et al., 'A Multi-Criteria Automated MLOps Pipeline for Cost-Effective Cloud-Based Classifier Retraining in Response to Data Distribution Shifts,' arXiv:2512.11541, 2025.</w:t>
      </w:r>
    </w:p>
    <w:p>
      <w:pPr>
        <w:spacing w:line="360" w:lineRule="auto" w:after="80"/>
        <w:jc w:val="both"/>
      </w:pPr>
      <w:r>
        <w:rPr>
          <w:rFonts w:ascii="Times New Roman" w:hAnsi="Times New Roman"/>
          <w:sz w:val="24"/>
        </w:rPr>
        <w:t>[6] M. Weber, H. Schmidt, and L. Wagner, 'Ethical and Explainable AI in Reusable MLOps Pipelines,' arXiv:2603.03341, 2026.</w:t>
      </w:r>
    </w:p>
    <w:p>
      <w:pPr>
        <w:spacing w:line="360" w:lineRule="auto" w:after="80"/>
        <w:jc w:val="both"/>
      </w:pPr>
      <w:r>
        <w:rPr>
          <w:rFonts w:ascii="Times New Roman" w:hAnsi="Times New Roman"/>
          <w:sz w:val="24"/>
        </w:rPr>
        <w:t>[7] D. Kreuzberger, N. Hirsch, and M. Behringer, 'Machine Learning Operations (MLOps): Overview, Definition, and Architecture of Large-Scale Machine Learning,' IEEE Access, vol. 11, 2023.</w:t>
      </w:r>
    </w:p>
    <w:p>
      <w:pPr>
        <w:spacing w:line="360" w:lineRule="auto" w:after="80"/>
        <w:jc w:val="both"/>
      </w:pPr>
      <w:r>
        <w:rPr>
          <w:rFonts w:ascii="Times New Roman" w:hAnsi="Times New Roman"/>
          <w:sz w:val="24"/>
        </w:rPr>
        <w:t>[8] Feast Development Team, 'Feast: Feature Store for Production Machine Learning Deployment,' 2025. [Online]. Available: https://feast.dev</w:t>
      </w:r>
    </w:p>
    <w:p>
      <w:pPr>
        <w:spacing w:line="360" w:lineRule="auto" w:after="80"/>
        <w:jc w:val="both"/>
      </w:pPr>
      <w:r>
        <w:rPr>
          <w:rFonts w:ascii="Times New Roman" w:hAnsi="Times New Roman"/>
          <w:sz w:val="24"/>
        </w:rPr>
        <w:t>[9] Evidently AI, 'Continuous Drift Monitoring &amp; Model Evaluation in Production Systems,' 2025. [Online]. Available: https://evidentlyai.com</w:t>
      </w:r>
    </w:p>
    <w:sectPr w:rsidR="00FC693F" w:rsidRPr="0006063C" w:rsidSect="00034616">
      <w:pgSz w:w="12240" w:h="15840"/>
      <w:pgMar w:top="1417" w:right="1133"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