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INNER PATH</w:t>
      </w:r>
    </w:p>
    <w:p>
      <w:pPr>
        <w:spacing w:after="100"/>
        <w:jc w:val="center"/>
      </w:pPr>
      <w:r>
        <w:rPr>
          <w:color w:val="5A5545"/>
          <w:sz w:val="28"/>
          <w:szCs w:val="28"/>
        </w:rPr>
        <w:t xml:space="preserve">Mobile App — Wireframe Screenshots</w:t>
      </w:r>
    </w:p>
    <w:p>
      <w:pPr>
        <w:spacing w:after="2000"/>
        <w:jc w:val="center"/>
      </w:pPr>
      <w:r>
        <w:rPr>
          <w:i/>
          <w:iCs/>
          <w:color w:val="9B9585"/>
          <w:sz w:val="20"/>
          <w:szCs w:val="20"/>
        </w:rPr>
        <w:t xml:space="preserve">Low-fidelity wireframes · Figma · 6 screens</w:t>
      </w:r>
    </w:p>
    <w:p>
      <w:pPr>
        <w:spacing w:after="4000"/>
        <w:jc w:val="center"/>
      </w:pPr>
      <w:r>
        <w:rPr>
          <w:color w:val="5A5545"/>
          <w:sz w:val="20"/>
          <w:szCs w:val="20"/>
        </w:rPr>
        <w:t xml:space="preserve">Prepared by Chinmay</w:t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00 — Welcome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First-touch screen introducing the Inner Path brand mark and tagline. A single primary action ("Begin") drives new users into onboarding, with a secondary text link for returning users to reduce friction at the entry point.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01 — Intent Selector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Branches the experience by self-reported experience level (curious / occasional / advanced). Each option previews the resulting path so the choice feels informed rather than arbitrary, and personalizes the content library shown later.</w:t>
      </w:r>
    </w:p>
    <w:p>
      <w:pPr>
        <w:spacing w:after="200"/>
        <w:jc w:val="center"/>
      </w:pPr>
      <w:r>
        <w:drawing>
          <wp:inline distT="0" distB="0" distL="0" distR="0">
            <wp:extent cx="5303520" cy="385573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8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02 — Home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Daily landing screen combining a streak/motivation card, a "continue your path" queue of in-progress sessions, and a short reflection prompt. Bottom navigation anchors the four core sections of the app.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03 — Meditation Player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Core practice screen with a circular countdown timer, transport controls, and a waveform indicator for guided audio. Ambient/voice/silence mode toggle sits below the fold to keep the primary control uncluttered.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04 — Library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Browsable catalogue of sessions with a search field and topic filter chips (Sleep, Anxiety, Focus). List items surface duration and teacher name up front to support quick scanning and decision-making.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200"/>
      </w:pPr>
      <w:r>
        <w:t xml:space="preserve">Screen 05 — Profile</w:t>
      </w:r>
    </w:p>
    <w:p>
      <w:pPr>
        <w:spacing w:after="220"/>
      </w:pPr>
      <w:r>
        <w:rPr>
          <w:color w:val="444444"/>
          <w:sz w:val="21"/>
          <w:szCs w:val="21"/>
        </w:rPr>
        <w:t xml:space="preserve">Personal progress summary — sessions completed, hours practiced, and streak — alongside an achievements row and account settings list. Reinforces habit-building through visible, low-effort progress tracking.</w:t>
      </w:r>
    </w:p>
    <w:p>
      <w:pPr>
        <w:spacing w:after="200"/>
        <w:jc w:val="center"/>
      </w:pPr>
      <w:r>
        <w:drawing>
          <wp:inline distT="0" distB="0" distL="0" distR="0">
            <wp:extent cx="3200400" cy="62616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B9585"/>
        <w:sz w:val="16"/>
        <w:szCs w:val="16"/>
      </w:rPr>
      <w:t xml:space="preserve">Page </w:t>
    </w:r>
    <w:r>
      <w:rPr>
        <w:color w:val="9B95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9585"/>
        <w:sz w:val="16"/>
        <w:szCs w:val="16"/>
      </w:rPr>
      <w:t xml:space="preserve">Inner Path — Wireframe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e70c26f0b9557a30bd7470af4d6783a36dbda1.png"/><Relationship Id="rId10" Type="http://schemas.openxmlformats.org/officeDocument/2006/relationships/image" Target="media/fb51984437a87d919fba4d5b7bf23d634cb7df7a.png"/><Relationship Id="rId11" Type="http://schemas.openxmlformats.org/officeDocument/2006/relationships/image" Target="media/66853d8ccbe39dc9082f819278a2bdbcb0a3d4dd.png"/><Relationship Id="rId12" Type="http://schemas.openxmlformats.org/officeDocument/2006/relationships/image" Target="media/b43115c772a0e266a2460d0c93fef1c1543e7346.png"/><Relationship Id="rId13" Type="http://schemas.openxmlformats.org/officeDocument/2006/relationships/image" Target="media/3ece506d9fcd5892819dad687da90c5a65173964.png"/><Relationship Id="rId14" Type="http://schemas.openxmlformats.org/officeDocument/2006/relationships/image" Target="media/9207f0a6382713c7bfdaaf08b535e9f535b973b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2026-08-19T15:13:12.861Z</dcterms:created>
  <dcterms:modified xsi:type="dcterms:W3CDTF">2026-08-19T15:13:12.861Z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