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80"/>
        <w:jc w:val="center"/>
      </w:pPr>
      <w:r>
        <w:rPr>
          <w:rFonts w:ascii="Calibri" w:hAnsi="Calibri"/>
          <w:b/>
          <w:color w:val="5445D6"/>
          <w:sz w:val="20"/>
        </w:rPr>
        <w:t>TECHNICAL DEEP DIVE</w:t>
      </w:r>
    </w:p>
    <w:p>
      <w:pPr>
        <w:keepNext/>
        <w:spacing w:after="200"/>
        <w:jc w:val="center"/>
      </w:pPr>
      <w:r>
        <w:rPr>
          <w:rFonts w:ascii="Calibri" w:hAnsi="Calibri"/>
          <w:b/>
          <w:color w:val="16182D"/>
          <w:sz w:val="60"/>
        </w:rPr>
        <w:t>How SmartReco Recommends</w:t>
      </w:r>
    </w:p>
    <w:p>
      <w:pPr>
        <w:spacing w:after="560"/>
        <w:jc w:val="center"/>
      </w:pPr>
      <w:r>
        <w:rPr>
          <w:rFonts w:ascii="Calibri" w:hAnsi="Calibri"/>
          <w:color w:val="3F61E8"/>
          <w:sz w:val="30"/>
        </w:rPr>
        <w:t>Overall behavioral recommendations and course-detail next steps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0EEFF"/>
            <w:tcMar>
              <w:top w:w="100" w:type="dxa"/>
              <w:start w:w="120" w:type="dxa"/>
              <w:bottom w:w="100" w:type="dxa"/>
              <w:end w:w="120" w:type="dxa"/>
            </w:tcMar>
            <w:vAlign w:val="center"/>
          </w:tcPr>
          <w:p>
            <w:pPr>
              <w:spacing w:after="60"/>
            </w:pPr>
            <w:r>
              <w:rPr>
                <w:rFonts w:ascii="Calibri" w:hAnsi="Calibri"/>
                <w:b/>
                <w:color w:val="5445D6"/>
                <w:sz w:val="17"/>
              </w:rPr>
              <w:t>CORE DESIGN PRINCIPLE</w:t>
            </w:r>
          </w:p>
          <w:p>
            <w:pPr>
              <w:spacing w:after="0" w:line="276" w:lineRule="auto"/>
            </w:pPr>
            <w:r>
              <w:rPr>
                <w:rFonts w:ascii="Calibri" w:hAnsi="Calibri"/>
                <w:color w:val="16182D"/>
                <w:sz w:val="20"/>
              </w:rPr>
              <w:t>Deterministic behavioral evidence and catalog-grounded retrieval select the courses. The LLM explains the already-selected courses persuasively; it is not allowed to invent or independently choose catalog products.</w:t>
            </w:r>
          </w:p>
        </w:tc>
      </w:tr>
    </w:tbl>
    <w:p>
      <w:pPr>
        <w:spacing w:after="0"/>
      </w:pPr>
    </w:p>
    <w:p>
      <w:pPr>
        <w:spacing w:before="520" w:after="40"/>
        <w:jc w:val="center"/>
      </w:pPr>
      <w:r>
        <w:rPr>
          <w:rFonts w:ascii="Calibri" w:hAnsi="Calibri"/>
          <w:b/>
          <w:color w:val="687086"/>
          <w:sz w:val="20"/>
        </w:rPr>
        <w:t>Implementation-aligned guide  |  7 August 2026</w:t>
      </w:r>
    </w:p>
    <w:p>
      <w:pPr>
        <w:jc w:val="center"/>
      </w:pPr>
      <w:r>
        <w:rPr>
          <w:rFonts w:ascii="Calibri" w:hAnsi="Calibri"/>
          <w:i/>
          <w:color w:val="687086"/>
          <w:sz w:val="19"/>
        </w:rPr>
        <w:t>Audience: judges, architects, engineers, product owners, and operators</w:t>
      </w:r>
    </w:p>
    <w:p>
      <w:r>
        <w:br w:type="page"/>
      </w:r>
    </w:p>
    <w:p>
      <w:pPr>
        <w:pStyle w:val="Heading1"/>
        <w:keepNext/>
      </w:pPr>
      <w:r>
        <w:t>1. Executive summary</w:t>
      </w:r>
    </w:p>
    <w:p>
      <w:r>
        <w:rPr>
          <w:rFonts w:ascii="Calibri" w:hAnsi="Calibri"/>
          <w:color w:val="16182D"/>
        </w:rPr>
        <w:t>SmartReco has two distinct recommendation experiences that share one governed LangGraph workflow but use different triggers and ranking objectives.</w:t>
      </w:r>
    </w:p>
    <w:tbl>
      <w:tblPr>
        <w:tblStyle w:val="TableGrid"/>
        <w:tblW w:type="dxa" w:w="9360"/>
        <w:jc w:val="left"/>
        <w:tblLayout w:type="fixed"/>
        <w:tblLook w:firstColumn="1" w:firstRow="1" w:lastColumn="0" w:lastRow="0" w:noHBand="0" w:noVBand="1" w:val="04A0"/>
        <w:tblInd w:w="120" w:type="dxa"/>
      </w:tblPr>
      <w:tblGrid>
        <w:gridCol w:w="1900"/>
        <w:gridCol w:w="2200"/>
        <w:gridCol w:w="2800"/>
        <w:gridCol w:w="2460"/>
      </w:tblGrid>
      <w:tr>
        <w:trPr>
          <w:tblHeader w:val="true"/>
        </w:trPr>
        <w:tc>
          <w:tcPr>
            <w:tcW w:type="dxa" w:w="1900"/>
            <w:shd w:fill="5445D6"/>
            <w:vAlign w:val="center"/>
            <w:tcMar>
              <w:top w:w="100" w:type="dxa"/>
              <w:start w:w="120" w:type="dxa"/>
              <w:bottom w:w="100" w:type="dxa"/>
              <w:end w:w="120" w:type="dxa"/>
            </w:tcMar>
          </w:tcPr>
          <w:p>
            <w:pPr>
              <w:spacing w:after="0"/>
              <w:jc w:val="left"/>
            </w:pPr>
            <w:r>
              <w:rPr>
                <w:rFonts w:ascii="Calibri" w:hAnsi="Calibri"/>
                <w:b/>
                <w:color w:val="FFFFFF"/>
                <w:sz w:val="17"/>
              </w:rPr>
              <w:t>Experience</w:t>
            </w:r>
          </w:p>
        </w:tc>
        <w:tc>
          <w:tcPr>
            <w:tcW w:type="dxa" w:w="2200"/>
            <w:shd w:fill="5445D6"/>
            <w:vAlign w:val="center"/>
            <w:tcMar>
              <w:top w:w="100" w:type="dxa"/>
              <w:start w:w="120" w:type="dxa"/>
              <w:bottom w:w="100" w:type="dxa"/>
              <w:end w:w="120" w:type="dxa"/>
            </w:tcMar>
          </w:tcPr>
          <w:p>
            <w:pPr>
              <w:spacing w:after="0"/>
              <w:jc w:val="center"/>
            </w:pPr>
            <w:r>
              <w:rPr>
                <w:rFonts w:ascii="Calibri" w:hAnsi="Calibri"/>
                <w:b/>
                <w:color w:val="FFFFFF"/>
                <w:sz w:val="17"/>
              </w:rPr>
              <w:t>When it runs</w:t>
            </w:r>
          </w:p>
        </w:tc>
        <w:tc>
          <w:tcPr>
            <w:tcW w:type="dxa" w:w="2800"/>
            <w:shd w:fill="5445D6"/>
            <w:vAlign w:val="center"/>
            <w:tcMar>
              <w:top w:w="100" w:type="dxa"/>
              <w:start w:w="120" w:type="dxa"/>
              <w:bottom w:w="100" w:type="dxa"/>
              <w:end w:w="120" w:type="dxa"/>
            </w:tcMar>
          </w:tcPr>
          <w:p>
            <w:pPr>
              <w:spacing w:after="0"/>
              <w:jc w:val="center"/>
            </w:pPr>
            <w:r>
              <w:rPr>
                <w:rFonts w:ascii="Calibri" w:hAnsi="Calibri"/>
                <w:b/>
                <w:color w:val="FFFFFF"/>
                <w:sz w:val="17"/>
              </w:rPr>
              <w:t>Primary evidence</w:t>
            </w:r>
          </w:p>
        </w:tc>
        <w:tc>
          <w:tcPr>
            <w:tcW w:type="dxa" w:w="2460"/>
            <w:shd w:fill="5445D6"/>
            <w:vAlign w:val="center"/>
            <w:tcMar>
              <w:top w:w="100" w:type="dxa"/>
              <w:start w:w="120" w:type="dxa"/>
              <w:bottom w:w="100" w:type="dxa"/>
              <w:end w:w="120" w:type="dxa"/>
            </w:tcMar>
          </w:tcPr>
          <w:p>
            <w:pPr>
              <w:spacing w:after="0"/>
              <w:jc w:val="center"/>
            </w:pPr>
            <w:r>
              <w:rPr>
                <w:rFonts w:ascii="Calibri" w:hAnsi="Calibri"/>
                <w:b/>
                <w:color w:val="FFFFFF"/>
                <w:sz w:val="17"/>
              </w:rPr>
              <w:t>What the user sees</w:t>
            </w:r>
          </w:p>
        </w:tc>
      </w:tr>
      <w:tr>
        <w:tc>
          <w:tcPr>
            <w:tcW w:type="dxa" w:w="1900"/>
            <w:vAlign w:val="center"/>
            <w:tcMar>
              <w:top w:w="100" w:type="dxa"/>
              <w:start w:w="120" w:type="dxa"/>
              <w:bottom w:w="100" w:type="dxa"/>
              <w:end w:w="120" w:type="dxa"/>
            </w:tcMar>
          </w:tcPr>
          <w:p>
            <w:pPr>
              <w:spacing w:after="0" w:line="259" w:lineRule="auto"/>
              <w:jc w:val="left"/>
            </w:pPr>
            <w:r>
              <w:rPr>
                <w:rFonts w:ascii="Calibri" w:hAnsi="Calibri"/>
                <w:color w:val="16182D"/>
                <w:sz w:val="16"/>
              </w:rPr>
              <w:t>Overall - Recommended for you</w:t>
            </w:r>
          </w:p>
        </w:tc>
        <w:tc>
          <w:tcPr>
            <w:tcW w:type="dxa" w:w="2200"/>
            <w:vAlign w:val="center"/>
            <w:tcMar>
              <w:top w:w="100" w:type="dxa"/>
              <w:start w:w="120" w:type="dxa"/>
              <w:bottom w:w="100" w:type="dxa"/>
              <w:end w:w="120" w:type="dxa"/>
            </w:tcMar>
          </w:tcPr>
          <w:p>
            <w:pPr>
              <w:spacing w:after="0" w:line="259" w:lineRule="auto"/>
              <w:jc w:val="left"/>
            </w:pPr>
            <w:r>
              <w:rPr>
                <w:rFonts w:ascii="Calibri" w:hAnsi="Calibri"/>
                <w:color w:val="16182D"/>
                <w:sz w:val="16"/>
              </w:rPr>
              <w:t>After new behavioral trigger points reach 8</w:t>
            </w:r>
          </w:p>
        </w:tc>
        <w:tc>
          <w:tcPr>
            <w:tcW w:type="dxa" w:w="2800"/>
            <w:vAlign w:val="center"/>
            <w:tcMar>
              <w:top w:w="100" w:type="dxa"/>
              <w:start w:w="120" w:type="dxa"/>
              <w:bottom w:w="100" w:type="dxa"/>
              <w:end w:w="120" w:type="dxa"/>
            </w:tcMar>
          </w:tcPr>
          <w:p>
            <w:pPr>
              <w:spacing w:after="0" w:line="259" w:lineRule="auto"/>
              <w:jc w:val="left"/>
            </w:pPr>
            <w:r>
              <w:rPr>
                <w:rFonts w:ascii="Calibri" w:hAnsi="Calibri"/>
                <w:color w:val="16182D"/>
                <w:sz w:val="16"/>
              </w:rPr>
              <w:t>Recency-decayed user profile plus semantic catalog retrieval</w:t>
            </w:r>
          </w:p>
        </w:tc>
        <w:tc>
          <w:tcPr>
            <w:tcW w:type="dxa" w:w="2460"/>
            <w:vAlign w:val="center"/>
            <w:tcMar>
              <w:top w:w="100" w:type="dxa"/>
              <w:start w:w="120" w:type="dxa"/>
              <w:bottom w:w="100" w:type="dxa"/>
              <w:end w:w="120" w:type="dxa"/>
            </w:tcMar>
          </w:tcPr>
          <w:p>
            <w:pPr>
              <w:spacing w:after="0" w:line="259" w:lineRule="auto"/>
              <w:jc w:val="left"/>
            </w:pPr>
            <w:r>
              <w:rPr>
                <w:rFonts w:ascii="Calibri" w:hAnsi="Calibri"/>
                <w:color w:val="16182D"/>
                <w:sz w:val="16"/>
              </w:rPr>
              <w:t>Stored narrative and up to three behavior-first courses on the home page</w:t>
            </w:r>
          </w:p>
        </w:tc>
      </w:tr>
      <w:tr>
        <w:tc>
          <w:tcPr>
            <w:tcW w:type="dxa" w:w="19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Course detail - You may also be interested in</w:t>
            </w:r>
          </w:p>
        </w:tc>
        <w:tc>
          <w:tcPr>
            <w:tcW w:type="dxa" w:w="22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Once per course-page visit or refresh</w:t>
            </w:r>
          </w:p>
        </w:tc>
        <w:tc>
          <w:tcPr>
            <w:tcW w:type="dxa" w:w="28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Current course as the relevance anchor plus accumulated behavior</w:t>
            </w:r>
          </w:p>
        </w:tc>
        <w:tc>
          <w:tcPr>
            <w:tcW w:type="dxa" w:w="246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A current-course learning story and up to three defensibly related next courses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0EEFF"/>
            <w:tcMar>
              <w:top w:w="100" w:type="dxa"/>
              <w:start w:w="120" w:type="dxa"/>
              <w:bottom w:w="100" w:type="dxa"/>
              <w:end w:w="120" w:type="dxa"/>
            </w:tcMar>
            <w:vAlign w:val="center"/>
          </w:tcPr>
          <w:p>
            <w:pPr>
              <w:spacing w:after="60"/>
            </w:pPr>
            <w:r>
              <w:rPr>
                <w:rFonts w:ascii="Calibri" w:hAnsi="Calibri"/>
                <w:b/>
                <w:color w:val="5445D6"/>
                <w:sz w:val="17"/>
              </w:rPr>
              <w:t>AUTHORITATIVE RECOMMENDATION</w:t>
            </w:r>
          </w:p>
          <w:p>
            <w:pPr>
              <w:spacing w:after="0" w:line="276" w:lineRule="auto"/>
            </w:pPr>
            <w:r>
              <w:rPr>
                <w:rFonts w:ascii="Calibri" w:hAnsi="Calibri"/>
                <w:color w:val="16182D"/>
                <w:sz w:val="20"/>
              </w:rPr>
              <w:t>The removed 'Your strongest interests so far' widget is not part of this design. The home-page 'Recommended for you' panel is the authoritative overall agentic recommendation.</w:t>
            </w:r>
          </w:p>
        </w:tc>
      </w:tr>
    </w:tbl>
    <w:p>
      <w:pPr>
        <w:spacing w:after="0"/>
      </w:pPr>
    </w:p>
    <w:p>
      <w:pPr>
        <w:pStyle w:val="Heading1"/>
        <w:keepNext/>
      </w:pPr>
      <w:r>
        <w:t>2. End-to-end architecture</w:t>
      </w:r>
    </w:p>
    <w:p>
      <w:pPr>
        <w:pStyle w:val="ListNumber"/>
        <w:spacing w:after="80" w:line="300" w:lineRule="auto"/>
        <w:ind w:left="540" w:hanging="271"/>
      </w:pPr>
      <w:r>
        <w:rPr>
          <w:rFonts w:ascii="Calibri" w:hAnsi="Calibri"/>
          <w:color w:val="16182D"/>
        </w:rPr>
        <w:t>Observe authenticated, user-scoped activity in the browser without blocking navigation.</w:t>
      </w:r>
    </w:p>
    <w:p>
      <w:pPr>
        <w:pStyle w:val="ListNumber"/>
        <w:spacing w:after="80" w:line="300" w:lineRule="auto"/>
        <w:ind w:left="540" w:hanging="271"/>
      </w:pPr>
      <w:r>
        <w:rPr>
          <w:rFonts w:ascii="Calibri" w:hAnsi="Calibri"/>
          <w:color w:val="16182D"/>
        </w:rPr>
        <w:t>Batch and persist idempotent activity events in the application database.</w:t>
      </w:r>
    </w:p>
    <w:p>
      <w:pPr>
        <w:pStyle w:val="ListNumber"/>
        <w:spacing w:after="80" w:line="300" w:lineRule="auto"/>
        <w:ind w:left="540" w:hanging="271"/>
      </w:pPr>
      <w:r>
        <w:rPr>
          <w:rFonts w:ascii="Calibri" w:hAnsi="Calibri"/>
          <w:color w:val="16182D"/>
        </w:rPr>
        <w:t>Derive typed behavioral signals and update the private user-interest profile.</w:t>
      </w:r>
    </w:p>
    <w:p>
      <w:pPr>
        <w:pStyle w:val="ListNumber"/>
        <w:spacing w:after="80" w:line="300" w:lineRule="auto"/>
        <w:ind w:left="540" w:hanging="271"/>
      </w:pPr>
      <w:r>
        <w:rPr>
          <w:rFonts w:ascii="Calibri" w:hAnsi="Calibri"/>
          <w:color w:val="16182D"/>
        </w:rPr>
        <w:t>Choose the scope: wait for the overall score threshold, or start immediately for a course-page visit.</w:t>
      </w:r>
    </w:p>
    <w:p>
      <w:pPr>
        <w:pStyle w:val="ListNumber"/>
        <w:spacing w:after="80" w:line="300" w:lineRule="auto"/>
        <w:ind w:left="540" w:hanging="271"/>
      </w:pPr>
      <w:r>
        <w:rPr>
          <w:rFonts w:ascii="Calibri" w:hAnsi="Calibri"/>
          <w:color w:val="16182D"/>
        </w:rPr>
        <w:t>Run the LangGraph workflow to load context, retrieve and rank catalog products, verify them through the MCP boundary, generate grounded wording, validate it, and persist it.</w:t>
      </w:r>
    </w:p>
    <w:p>
      <w:pPr>
        <w:pStyle w:val="ListNumber"/>
        <w:spacing w:after="80" w:line="300" w:lineRule="auto"/>
        <w:ind w:left="540" w:hanging="271"/>
      </w:pPr>
      <w:r>
        <w:rPr>
          <w:rFonts w:ascii="Calibri" w:hAnsi="Calibri"/>
          <w:color w:val="16182D"/>
        </w:rPr>
        <w:t>Display only stored, active recommendations and keep every service call observable through the local invocation ledger and LangSmith traces when enabled.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5F6FA"/>
            <w:tcMar>
              <w:top w:w="100" w:type="dxa"/>
              <w:start w:w="120" w:type="dxa"/>
              <w:bottom w:w="100" w:type="dxa"/>
              <w:end w:w="120" w:type="dxa"/>
            </w:tcMar>
            <w:vAlign w:val="center"/>
          </w:tcPr>
          <w:p>
            <w:pPr>
              <w:spacing w:after="0" w:line="264" w:lineRule="auto"/>
            </w:pPr>
            <w:r>
              <w:rPr>
                <w:rFonts w:ascii="Consolas" w:hAnsi="Consolas"/>
                <w:color w:val="16182D"/>
                <w:sz w:val="18"/>
              </w:rPr>
              <w:t>Browser -&gt; event batch -&gt; activity_events -&gt; behavioral_signals -&gt; user_interest_profile</w:t>
              <w:br/>
              <w:t xml:space="preserve">        -&gt; trigger/scope -&gt; LangGraph -&gt; RAG rank -&gt; MCP verify -&gt; Mesh LLM</w:t>
              <w:br/>
              <w:t xml:space="preserve">        -&gt; validate -&gt; recommendations + recommendation_items -&gt; learner UI</w:t>
            </w:r>
          </w:p>
        </w:tc>
      </w:tr>
    </w:tbl>
    <w:p>
      <w:pPr>
        <w:spacing w:after="0"/>
      </w:pPr>
    </w:p>
    <w:p>
      <w:pPr>
        <w:pStyle w:val="Heading1"/>
        <w:keepNext/>
      </w:pPr>
      <w:r>
        <w:t>3. Activity collection and event persistence</w:t>
      </w:r>
    </w:p>
    <w:p>
      <w:r>
        <w:rPr>
          <w:rFonts w:ascii="Calibri" w:hAnsi="Calibri"/>
          <w:color w:val="16182D"/>
        </w:rPr>
        <w:t>The browser tracker queues events in local storage, flushes automatically every 1.5 seconds, flushes immediately at ten queued events, and sends at most 100 events per batch. The request uses keepalive, CSRF protection, an authenticated session, and an event UUID. If delivery fails, the batch is returned to the local queue instead of being silently lost.</w:t>
      </w:r>
    </w:p>
    <w:p>
      <w:pPr>
        <w:pStyle w:val="ListBullet"/>
        <w:spacing w:after="80" w:line="300" w:lineRule="auto"/>
        <w:ind w:left="540" w:hanging="271"/>
      </w:pPr>
      <w:r>
        <w:rPr>
          <w:rFonts w:ascii="Calibri" w:hAnsi="Calibri"/>
          <w:color w:val="16182D"/>
        </w:rPr>
        <w:t>Every accepted event is keyed to the authenticated user; recommendations and signals never use another learner's evidence.</w:t>
      </w:r>
    </w:p>
    <w:p>
      <w:pPr>
        <w:pStyle w:val="ListBullet"/>
        <w:spacing w:after="80" w:line="300" w:lineRule="auto"/>
        <w:ind w:left="540" w:hanging="271"/>
      </w:pPr>
      <w:r>
        <w:rPr>
          <w:rFonts w:ascii="Calibri" w:hAnsi="Calibri"/>
          <w:color w:val="16182D"/>
        </w:rPr>
        <w:t>The backend de-duplicates by event_id and rejects product references that do not exist.</w:t>
      </w:r>
    </w:p>
    <w:p>
      <w:pPr>
        <w:pStyle w:val="ListBullet"/>
        <w:spacing w:after="80" w:line="300" w:lineRule="auto"/>
        <w:ind w:left="540" w:hanging="271"/>
      </w:pPr>
      <w:r>
        <w:rPr>
          <w:rFonts w:ascii="Calibri" w:hAnsi="Calibri"/>
          <w:color w:val="16182D"/>
        </w:rPr>
        <w:t>Personalization can be disabled per user; disabled users create no recommendation events.</w:t>
      </w:r>
    </w:p>
    <w:p>
      <w:pPr>
        <w:pStyle w:val="ListBullet"/>
        <w:spacing w:after="80" w:line="300" w:lineRule="auto"/>
        <w:ind w:left="540" w:hanging="271"/>
      </w:pPr>
      <w:r>
        <w:rPr>
          <w:rFonts w:ascii="Calibri" w:hAnsi="Calibri"/>
          <w:color w:val="16182D"/>
        </w:rPr>
        <w:t>Course impressions are tracked efficiently with IntersectionObserver. Active dwell counts only foreground time.</w:t>
      </w:r>
    </w:p>
    <w:p>
      <w:pPr>
        <w:pStyle w:val="Heading1"/>
        <w:keepNext/>
      </w:pPr>
      <w:r>
        <w:t>4. Event-to-signal model</w:t>
      </w:r>
    </w:p>
    <w:p>
      <w:r>
        <w:rPr>
          <w:rFonts w:ascii="Calibri" w:hAnsi="Calibri"/>
          <w:color w:val="16182D"/>
        </w:rPr>
        <w:t>Two numeric concepts must not be confused. Signal strength contributes to the learner's topic profile. Trigger points only decide whether enough new behavior exists to justify another overall LangGraph/LLM run.</w:t>
      </w:r>
    </w:p>
    <w:tbl>
      <w:tblPr>
        <w:tblStyle w:val="TableGrid"/>
        <w:tblW w:type="dxa" w:w="9360"/>
        <w:jc w:val="left"/>
        <w:tblLayout w:type="fixed"/>
        <w:tblLook w:firstColumn="1" w:firstRow="1" w:lastColumn="0" w:lastRow="0" w:noHBand="0" w:noVBand="1" w:val="04A0"/>
        <w:tblInd w:w="120" w:type="dxa"/>
      </w:tblPr>
      <w:tblGrid>
        <w:gridCol w:w="1900"/>
        <w:gridCol w:w="1850"/>
        <w:gridCol w:w="900"/>
        <w:gridCol w:w="900"/>
        <w:gridCol w:w="3810"/>
      </w:tblGrid>
      <w:tr>
        <w:trPr>
          <w:tblHeader w:val="true"/>
        </w:trPr>
        <w:tc>
          <w:tcPr>
            <w:tcW w:type="dxa" w:w="1900"/>
            <w:shd w:fill="5445D6"/>
            <w:vAlign w:val="center"/>
            <w:tcMar>
              <w:top w:w="100" w:type="dxa"/>
              <w:start w:w="120" w:type="dxa"/>
              <w:bottom w:w="100" w:type="dxa"/>
              <w:end w:w="120" w:type="dxa"/>
            </w:tcMar>
          </w:tcPr>
          <w:p>
            <w:pPr>
              <w:spacing w:after="0"/>
              <w:jc w:val="left"/>
            </w:pPr>
            <w:r>
              <w:rPr>
                <w:rFonts w:ascii="Calibri" w:hAnsi="Calibri"/>
                <w:b/>
                <w:color w:val="FFFFFF"/>
                <w:sz w:val="17"/>
              </w:rPr>
              <w:t>Event</w:t>
            </w:r>
          </w:p>
        </w:tc>
        <w:tc>
          <w:tcPr>
            <w:tcW w:type="dxa" w:w="1850"/>
            <w:shd w:fill="5445D6"/>
            <w:vAlign w:val="center"/>
            <w:tcMar>
              <w:top w:w="100" w:type="dxa"/>
              <w:start w:w="120" w:type="dxa"/>
              <w:bottom w:w="100" w:type="dxa"/>
              <w:end w:w="120" w:type="dxa"/>
            </w:tcMar>
          </w:tcPr>
          <w:p>
            <w:pPr>
              <w:spacing w:after="0"/>
              <w:jc w:val="center"/>
            </w:pPr>
            <w:r>
              <w:rPr>
                <w:rFonts w:ascii="Calibri" w:hAnsi="Calibri"/>
                <w:b/>
                <w:color w:val="FFFFFF"/>
                <w:sz w:val="17"/>
              </w:rPr>
              <w:t>Signal</w:t>
            </w:r>
          </w:p>
        </w:tc>
        <w:tc>
          <w:tcPr>
            <w:tcW w:type="dxa" w:w="900"/>
            <w:shd w:fill="5445D6"/>
            <w:vAlign w:val="center"/>
            <w:tcMar>
              <w:top w:w="100" w:type="dxa"/>
              <w:start w:w="120" w:type="dxa"/>
              <w:bottom w:w="100" w:type="dxa"/>
              <w:end w:w="120" w:type="dxa"/>
            </w:tcMar>
          </w:tcPr>
          <w:p>
            <w:pPr>
              <w:spacing w:after="0"/>
              <w:jc w:val="center"/>
            </w:pPr>
            <w:r>
              <w:rPr>
                <w:rFonts w:ascii="Calibri" w:hAnsi="Calibri"/>
                <w:b/>
                <w:color w:val="FFFFFF"/>
                <w:sz w:val="17"/>
              </w:rPr>
              <w:t>Strength</w:t>
            </w:r>
          </w:p>
        </w:tc>
        <w:tc>
          <w:tcPr>
            <w:tcW w:type="dxa" w:w="900"/>
            <w:shd w:fill="5445D6"/>
            <w:vAlign w:val="center"/>
            <w:tcMar>
              <w:top w:w="100" w:type="dxa"/>
              <w:start w:w="120" w:type="dxa"/>
              <w:bottom w:w="100" w:type="dxa"/>
              <w:end w:w="120" w:type="dxa"/>
            </w:tcMar>
          </w:tcPr>
          <w:p>
            <w:pPr>
              <w:spacing w:after="0"/>
              <w:jc w:val="center"/>
            </w:pPr>
            <w:r>
              <w:rPr>
                <w:rFonts w:ascii="Calibri" w:hAnsi="Calibri"/>
                <w:b/>
                <w:color w:val="FFFFFF"/>
                <w:sz w:val="17"/>
              </w:rPr>
              <w:t>Trigger</w:t>
            </w:r>
          </w:p>
        </w:tc>
        <w:tc>
          <w:tcPr>
            <w:tcW w:type="dxa" w:w="3810"/>
            <w:shd w:fill="5445D6"/>
            <w:vAlign w:val="center"/>
            <w:tcMar>
              <w:top w:w="100" w:type="dxa"/>
              <w:start w:w="120" w:type="dxa"/>
              <w:bottom w:w="100" w:type="dxa"/>
              <w:end w:w="120" w:type="dxa"/>
            </w:tcMar>
          </w:tcPr>
          <w:p>
            <w:pPr>
              <w:spacing w:after="0"/>
              <w:jc w:val="center"/>
            </w:pPr>
            <w:r>
              <w:rPr>
                <w:rFonts w:ascii="Calibri" w:hAnsi="Calibri"/>
                <w:b/>
                <w:color w:val="FFFFFF"/>
                <w:sz w:val="17"/>
              </w:rPr>
              <w:t>Interpretation</w:t>
            </w:r>
          </w:p>
        </w:tc>
      </w:tr>
      <w:tr>
        <w:tc>
          <w:tcPr>
            <w:tcW w:type="dxa" w:w="1900"/>
            <w:vAlign w:val="center"/>
            <w:tcMar>
              <w:top w:w="100" w:type="dxa"/>
              <w:start w:w="120" w:type="dxa"/>
              <w:bottom w:w="100" w:type="dxa"/>
              <w:end w:w="120" w:type="dxa"/>
            </w:tcMar>
          </w:tcPr>
          <w:p>
            <w:pPr>
              <w:spacing w:after="0" w:line="259" w:lineRule="auto"/>
              <w:jc w:val="left"/>
            </w:pPr>
            <w:r>
              <w:rPr>
                <w:rFonts w:ascii="Calibri" w:hAnsi="Calibri"/>
                <w:color w:val="16182D"/>
                <w:sz w:val="15"/>
              </w:rPr>
              <w:t>page_viewed</w:t>
            </w:r>
          </w:p>
        </w:tc>
        <w:tc>
          <w:tcPr>
            <w:tcW w:type="dxa" w:w="1850"/>
            <w:vAlign w:val="center"/>
            <w:tcMar>
              <w:top w:w="100" w:type="dxa"/>
              <w:start w:w="120" w:type="dxa"/>
              <w:bottom w:w="100" w:type="dxa"/>
              <w:end w:w="120" w:type="dxa"/>
            </w:tcMar>
          </w:tcPr>
          <w:p>
            <w:pPr>
              <w:spacing w:after="0" w:line="259" w:lineRule="auto"/>
              <w:jc w:val="center"/>
            </w:pPr>
            <w:r>
              <w:rPr>
                <w:rFonts w:ascii="Calibri" w:hAnsi="Calibri"/>
                <w:color w:val="16182D"/>
                <w:sz w:val="15"/>
              </w:rPr>
              <w:t>Browse</w:t>
            </w:r>
          </w:p>
        </w:tc>
        <w:tc>
          <w:tcPr>
            <w:tcW w:type="dxa" w:w="900"/>
            <w:vAlign w:val="center"/>
            <w:tcMar>
              <w:top w:w="100" w:type="dxa"/>
              <w:start w:w="120" w:type="dxa"/>
              <w:bottom w:w="100" w:type="dxa"/>
              <w:end w:w="120" w:type="dxa"/>
            </w:tcMar>
          </w:tcPr>
          <w:p>
            <w:pPr>
              <w:spacing w:after="0" w:line="259" w:lineRule="auto"/>
              <w:jc w:val="center"/>
            </w:pPr>
            <w:r>
              <w:rPr>
                <w:rFonts w:ascii="Calibri" w:hAnsi="Calibri"/>
                <w:color w:val="16182D"/>
                <w:sz w:val="15"/>
              </w:rPr>
              <w:t>0.05</w:t>
            </w:r>
          </w:p>
        </w:tc>
        <w:tc>
          <w:tcPr>
            <w:tcW w:type="dxa" w:w="900"/>
            <w:vAlign w:val="center"/>
            <w:tcMar>
              <w:top w:w="100" w:type="dxa"/>
              <w:start w:w="120" w:type="dxa"/>
              <w:bottom w:w="100" w:type="dxa"/>
              <w:end w:w="120" w:type="dxa"/>
            </w:tcMar>
          </w:tcPr>
          <w:p>
            <w:pPr>
              <w:spacing w:after="0" w:line="259" w:lineRule="auto"/>
              <w:jc w:val="center"/>
            </w:pPr>
            <w:r>
              <w:rPr>
                <w:rFonts w:ascii="Calibri" w:hAnsi="Calibri"/>
                <w:color w:val="16182D"/>
                <w:sz w:val="15"/>
              </w:rPr>
              <w:t>0.5</w:t>
            </w:r>
          </w:p>
        </w:tc>
        <w:tc>
          <w:tcPr>
            <w:tcW w:type="dxa" w:w="3810"/>
            <w:vAlign w:val="center"/>
            <w:tcMar>
              <w:top w:w="100" w:type="dxa"/>
              <w:start w:w="120" w:type="dxa"/>
              <w:bottom w:w="100" w:type="dxa"/>
              <w:end w:w="120" w:type="dxa"/>
            </w:tcMar>
          </w:tcPr>
          <w:p>
            <w:pPr>
              <w:spacing w:after="0" w:line="259" w:lineRule="auto"/>
              <w:jc w:val="left"/>
            </w:pPr>
            <w:r>
              <w:rPr>
                <w:rFonts w:ascii="Calibri" w:hAnsi="Calibri"/>
                <w:color w:val="16182D"/>
                <w:sz w:val="15"/>
              </w:rPr>
              <w:t>Weak navigation evidence</w:t>
            </w:r>
          </w:p>
        </w:tc>
      </w:tr>
      <w:tr>
        <w:tc>
          <w:tcPr>
            <w:tcW w:type="dxa" w:w="19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category_selected</w:t>
            </w:r>
          </w:p>
        </w:tc>
        <w:tc>
          <w:tcPr>
            <w:tcW w:type="dxa" w:w="185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Topic interest</w:t>
            </w:r>
          </w:p>
        </w:tc>
        <w:tc>
          <w:tcPr>
            <w:tcW w:type="dxa" w:w="9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0.25</w:t>
            </w:r>
          </w:p>
        </w:tc>
        <w:tc>
          <w:tcPr>
            <w:tcW w:type="dxa" w:w="9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1.0</w:t>
            </w:r>
          </w:p>
        </w:tc>
        <w:tc>
          <w:tcPr>
            <w:tcW w:type="dxa" w:w="381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Explicit category exploration</w:t>
            </w:r>
          </w:p>
        </w:tc>
      </w:tr>
      <w:tr>
        <w:tc>
          <w:tcPr>
            <w:tcW w:type="dxa" w:w="1900"/>
            <w:vAlign w:val="center"/>
            <w:tcMar>
              <w:top w:w="100" w:type="dxa"/>
              <w:start w:w="120" w:type="dxa"/>
              <w:bottom w:w="100" w:type="dxa"/>
              <w:end w:w="120" w:type="dxa"/>
            </w:tcMar>
          </w:tcPr>
          <w:p>
            <w:pPr>
              <w:spacing w:after="0" w:line="259" w:lineRule="auto"/>
              <w:jc w:val="left"/>
            </w:pPr>
            <w:r>
              <w:rPr>
                <w:rFonts w:ascii="Calibri" w:hAnsi="Calibri"/>
                <w:color w:val="16182D"/>
                <w:sz w:val="15"/>
              </w:rPr>
              <w:t>search_submitted</w:t>
            </w:r>
          </w:p>
        </w:tc>
        <w:tc>
          <w:tcPr>
            <w:tcW w:type="dxa" w:w="1850"/>
            <w:vAlign w:val="center"/>
            <w:tcMar>
              <w:top w:w="100" w:type="dxa"/>
              <w:start w:w="120" w:type="dxa"/>
              <w:bottom w:w="100" w:type="dxa"/>
              <w:end w:w="120" w:type="dxa"/>
            </w:tcMar>
          </w:tcPr>
          <w:p>
            <w:pPr>
              <w:spacing w:after="0" w:line="259" w:lineRule="auto"/>
              <w:jc w:val="center"/>
            </w:pPr>
            <w:r>
              <w:rPr>
                <w:rFonts w:ascii="Calibri" w:hAnsi="Calibri"/>
                <w:color w:val="16182D"/>
                <w:sz w:val="15"/>
              </w:rPr>
              <w:t>Explicit intent</w:t>
            </w:r>
          </w:p>
        </w:tc>
        <w:tc>
          <w:tcPr>
            <w:tcW w:type="dxa" w:w="900"/>
            <w:vAlign w:val="center"/>
            <w:tcMar>
              <w:top w:w="100" w:type="dxa"/>
              <w:start w:w="120" w:type="dxa"/>
              <w:bottom w:w="100" w:type="dxa"/>
              <w:end w:w="120" w:type="dxa"/>
            </w:tcMar>
          </w:tcPr>
          <w:p>
            <w:pPr>
              <w:spacing w:after="0" w:line="259" w:lineRule="auto"/>
              <w:jc w:val="center"/>
            </w:pPr>
            <w:r>
              <w:rPr>
                <w:rFonts w:ascii="Calibri" w:hAnsi="Calibri"/>
                <w:color w:val="16182D"/>
                <w:sz w:val="15"/>
              </w:rPr>
              <w:t>0.70</w:t>
            </w:r>
          </w:p>
        </w:tc>
        <w:tc>
          <w:tcPr>
            <w:tcW w:type="dxa" w:w="900"/>
            <w:vAlign w:val="center"/>
            <w:tcMar>
              <w:top w:w="100" w:type="dxa"/>
              <w:start w:w="120" w:type="dxa"/>
              <w:bottom w:w="100" w:type="dxa"/>
              <w:end w:w="120" w:type="dxa"/>
            </w:tcMar>
          </w:tcPr>
          <w:p>
            <w:pPr>
              <w:spacing w:after="0" w:line="259" w:lineRule="auto"/>
              <w:jc w:val="center"/>
            </w:pPr>
            <w:r>
              <w:rPr>
                <w:rFonts w:ascii="Calibri" w:hAnsi="Calibri"/>
                <w:color w:val="16182D"/>
                <w:sz w:val="15"/>
              </w:rPr>
              <w:t>6.0</w:t>
            </w:r>
          </w:p>
        </w:tc>
        <w:tc>
          <w:tcPr>
            <w:tcW w:type="dxa" w:w="3810"/>
            <w:vAlign w:val="center"/>
            <w:tcMar>
              <w:top w:w="100" w:type="dxa"/>
              <w:start w:w="120" w:type="dxa"/>
              <w:bottom w:w="100" w:type="dxa"/>
              <w:end w:w="120" w:type="dxa"/>
            </w:tcMar>
          </w:tcPr>
          <w:p>
            <w:pPr>
              <w:spacing w:after="0" w:line="259" w:lineRule="auto"/>
              <w:jc w:val="left"/>
            </w:pPr>
            <w:r>
              <w:rPr>
                <w:rFonts w:ascii="Calibri" w:hAnsi="Calibri"/>
                <w:color w:val="16182D"/>
                <w:sz w:val="15"/>
              </w:rPr>
              <w:t>Strong stated intent</w:t>
            </w:r>
          </w:p>
        </w:tc>
      </w:tr>
      <w:tr>
        <w:tc>
          <w:tcPr>
            <w:tcW w:type="dxa" w:w="19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product_impression</w:t>
            </w:r>
          </w:p>
        </w:tc>
        <w:tc>
          <w:tcPr>
            <w:tcW w:type="dxa" w:w="185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Exposure</w:t>
            </w:r>
          </w:p>
        </w:tc>
        <w:tc>
          <w:tcPr>
            <w:tcW w:type="dxa" w:w="9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0.03</w:t>
            </w:r>
          </w:p>
        </w:tc>
        <w:tc>
          <w:tcPr>
            <w:tcW w:type="dxa" w:w="9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0.0</w:t>
            </w:r>
          </w:p>
        </w:tc>
        <w:tc>
          <w:tcPr>
            <w:tcW w:type="dxa" w:w="381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Visible course; no run trigger</w:t>
            </w:r>
          </w:p>
        </w:tc>
      </w:tr>
      <w:tr>
        <w:tc>
          <w:tcPr>
            <w:tcW w:type="dxa" w:w="1900"/>
            <w:vAlign w:val="center"/>
            <w:tcMar>
              <w:top w:w="100" w:type="dxa"/>
              <w:start w:w="120" w:type="dxa"/>
              <w:bottom w:w="100" w:type="dxa"/>
              <w:end w:w="120" w:type="dxa"/>
            </w:tcMar>
          </w:tcPr>
          <w:p>
            <w:pPr>
              <w:spacing w:after="0" w:line="259" w:lineRule="auto"/>
              <w:jc w:val="left"/>
            </w:pPr>
            <w:r>
              <w:rPr>
                <w:rFonts w:ascii="Calibri" w:hAnsi="Calibri"/>
                <w:color w:val="16182D"/>
                <w:sz w:val="15"/>
              </w:rPr>
              <w:t>product_viewed</w:t>
            </w:r>
          </w:p>
        </w:tc>
        <w:tc>
          <w:tcPr>
            <w:tcW w:type="dxa" w:w="1850"/>
            <w:vAlign w:val="center"/>
            <w:tcMar>
              <w:top w:w="100" w:type="dxa"/>
              <w:start w:w="120" w:type="dxa"/>
              <w:bottom w:w="100" w:type="dxa"/>
              <w:end w:w="120" w:type="dxa"/>
            </w:tcMar>
          </w:tcPr>
          <w:p>
            <w:pPr>
              <w:spacing w:after="0" w:line="259" w:lineRule="auto"/>
              <w:jc w:val="center"/>
            </w:pPr>
            <w:r>
              <w:rPr>
                <w:rFonts w:ascii="Calibri" w:hAnsi="Calibri"/>
                <w:color w:val="16182D"/>
                <w:sz w:val="15"/>
              </w:rPr>
              <w:t>Product interest</w:t>
            </w:r>
          </w:p>
        </w:tc>
        <w:tc>
          <w:tcPr>
            <w:tcW w:type="dxa" w:w="900"/>
            <w:vAlign w:val="center"/>
            <w:tcMar>
              <w:top w:w="100" w:type="dxa"/>
              <w:start w:w="120" w:type="dxa"/>
              <w:bottom w:w="100" w:type="dxa"/>
              <w:end w:w="120" w:type="dxa"/>
            </w:tcMar>
          </w:tcPr>
          <w:p>
            <w:pPr>
              <w:spacing w:after="0" w:line="259" w:lineRule="auto"/>
              <w:jc w:val="center"/>
            </w:pPr>
            <w:r>
              <w:rPr>
                <w:rFonts w:ascii="Calibri" w:hAnsi="Calibri"/>
                <w:color w:val="16182D"/>
                <w:sz w:val="15"/>
              </w:rPr>
              <w:t>0.35</w:t>
            </w:r>
          </w:p>
        </w:tc>
        <w:tc>
          <w:tcPr>
            <w:tcW w:type="dxa" w:w="900"/>
            <w:vAlign w:val="center"/>
            <w:tcMar>
              <w:top w:w="100" w:type="dxa"/>
              <w:start w:w="120" w:type="dxa"/>
              <w:bottom w:w="100" w:type="dxa"/>
              <w:end w:w="120" w:type="dxa"/>
            </w:tcMar>
          </w:tcPr>
          <w:p>
            <w:pPr>
              <w:spacing w:after="0" w:line="259" w:lineRule="auto"/>
              <w:jc w:val="center"/>
            </w:pPr>
            <w:r>
              <w:rPr>
                <w:rFonts w:ascii="Calibri" w:hAnsi="Calibri"/>
                <w:color w:val="16182D"/>
                <w:sz w:val="15"/>
              </w:rPr>
              <w:t>3.0</w:t>
            </w:r>
          </w:p>
        </w:tc>
        <w:tc>
          <w:tcPr>
            <w:tcW w:type="dxa" w:w="3810"/>
            <w:vAlign w:val="center"/>
            <w:tcMar>
              <w:top w:w="100" w:type="dxa"/>
              <w:start w:w="120" w:type="dxa"/>
              <w:bottom w:w="100" w:type="dxa"/>
              <w:end w:w="120" w:type="dxa"/>
            </w:tcMar>
          </w:tcPr>
          <w:p>
            <w:pPr>
              <w:spacing w:after="0" w:line="259" w:lineRule="auto"/>
              <w:jc w:val="left"/>
            </w:pPr>
            <w:r>
              <w:rPr>
                <w:rFonts w:ascii="Calibri" w:hAnsi="Calibri"/>
                <w:color w:val="16182D"/>
                <w:sz w:val="15"/>
              </w:rPr>
              <w:t>Course detail opened</w:t>
            </w:r>
          </w:p>
        </w:tc>
      </w:tr>
      <w:tr>
        <w:tc>
          <w:tcPr>
            <w:tcW w:type="dxa" w:w="19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product_clicked</w:t>
            </w:r>
          </w:p>
        </w:tc>
        <w:tc>
          <w:tcPr>
            <w:tcW w:type="dxa" w:w="185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Product interest</w:t>
            </w:r>
          </w:p>
        </w:tc>
        <w:tc>
          <w:tcPr>
            <w:tcW w:type="dxa" w:w="9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0.55</w:t>
            </w:r>
          </w:p>
        </w:tc>
        <w:tc>
          <w:tcPr>
            <w:tcW w:type="dxa" w:w="9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5.0</w:t>
            </w:r>
          </w:p>
        </w:tc>
        <w:tc>
          <w:tcPr>
            <w:tcW w:type="dxa" w:w="381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Deliberate course selection</w:t>
            </w:r>
          </w:p>
        </w:tc>
      </w:tr>
      <w:tr>
        <w:tc>
          <w:tcPr>
            <w:tcW w:type="dxa" w:w="1900"/>
            <w:vAlign w:val="center"/>
            <w:tcMar>
              <w:top w:w="100" w:type="dxa"/>
              <w:start w:w="120" w:type="dxa"/>
              <w:bottom w:w="100" w:type="dxa"/>
              <w:end w:w="120" w:type="dxa"/>
            </w:tcMar>
          </w:tcPr>
          <w:p>
            <w:pPr>
              <w:spacing w:after="0" w:line="259" w:lineRule="auto"/>
              <w:jc w:val="left"/>
            </w:pPr>
            <w:r>
              <w:rPr>
                <w:rFonts w:ascii="Calibri" w:hAnsi="Calibri"/>
                <w:color w:val="16182D"/>
                <w:sz w:val="15"/>
              </w:rPr>
              <w:t>active_dwell</w:t>
            </w:r>
          </w:p>
        </w:tc>
        <w:tc>
          <w:tcPr>
            <w:tcW w:type="dxa" w:w="1850"/>
            <w:vAlign w:val="center"/>
            <w:tcMar>
              <w:top w:w="100" w:type="dxa"/>
              <w:start w:w="120" w:type="dxa"/>
              <w:bottom w:w="100" w:type="dxa"/>
              <w:end w:w="120" w:type="dxa"/>
            </w:tcMar>
          </w:tcPr>
          <w:p>
            <w:pPr>
              <w:spacing w:after="0" w:line="259" w:lineRule="auto"/>
              <w:jc w:val="center"/>
            </w:pPr>
            <w:r>
              <w:rPr>
                <w:rFonts w:ascii="Calibri" w:hAnsi="Calibri"/>
                <w:color w:val="16182D"/>
                <w:sz w:val="15"/>
              </w:rPr>
              <w:t>High engagement</w:t>
            </w:r>
          </w:p>
        </w:tc>
        <w:tc>
          <w:tcPr>
            <w:tcW w:type="dxa" w:w="900"/>
            <w:vAlign w:val="center"/>
            <w:tcMar>
              <w:top w:w="100" w:type="dxa"/>
              <w:start w:w="120" w:type="dxa"/>
              <w:bottom w:w="100" w:type="dxa"/>
              <w:end w:w="120" w:type="dxa"/>
            </w:tcMar>
          </w:tcPr>
          <w:p>
            <w:pPr>
              <w:spacing w:after="0" w:line="259" w:lineRule="auto"/>
              <w:jc w:val="center"/>
            </w:pPr>
            <w:r>
              <w:rPr>
                <w:rFonts w:ascii="Calibri" w:hAnsi="Calibri"/>
                <w:color w:val="16182D"/>
                <w:sz w:val="15"/>
              </w:rPr>
              <w:t>Dynamic</w:t>
            </w:r>
          </w:p>
        </w:tc>
        <w:tc>
          <w:tcPr>
            <w:tcW w:type="dxa" w:w="900"/>
            <w:vAlign w:val="center"/>
            <w:tcMar>
              <w:top w:w="100" w:type="dxa"/>
              <w:start w:w="120" w:type="dxa"/>
              <w:bottom w:w="100" w:type="dxa"/>
              <w:end w:w="120" w:type="dxa"/>
            </w:tcMar>
          </w:tcPr>
          <w:p>
            <w:pPr>
              <w:spacing w:after="0" w:line="259" w:lineRule="auto"/>
              <w:jc w:val="center"/>
            </w:pPr>
            <w:r>
              <w:rPr>
                <w:rFonts w:ascii="Calibri" w:hAnsi="Calibri"/>
                <w:color w:val="16182D"/>
                <w:sz w:val="15"/>
              </w:rPr>
              <w:t>4.0 initial</w:t>
            </w:r>
          </w:p>
        </w:tc>
        <w:tc>
          <w:tcPr>
            <w:tcW w:type="dxa" w:w="3810"/>
            <w:vAlign w:val="center"/>
            <w:tcMar>
              <w:top w:w="100" w:type="dxa"/>
              <w:start w:w="120" w:type="dxa"/>
              <w:bottom w:w="100" w:type="dxa"/>
              <w:end w:w="120" w:type="dxa"/>
            </w:tcMar>
          </w:tcPr>
          <w:p>
            <w:pPr>
              <w:spacing w:after="0" w:line="259" w:lineRule="auto"/>
              <w:jc w:val="left"/>
            </w:pPr>
            <w:r>
              <w:rPr>
                <w:rFonts w:ascii="Calibri" w:hAnsi="Calibri"/>
                <w:color w:val="16182D"/>
                <w:sz w:val="15"/>
              </w:rPr>
              <w:t>At least 15 active seconds</w:t>
            </w:r>
          </w:p>
        </w:tc>
      </w:tr>
      <w:tr>
        <w:tc>
          <w:tcPr>
            <w:tcW w:type="dxa" w:w="19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added_to_cart</w:t>
            </w:r>
          </w:p>
        </w:tc>
        <w:tc>
          <w:tcPr>
            <w:tcW w:type="dxa" w:w="185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Purchase intent</w:t>
            </w:r>
          </w:p>
        </w:tc>
        <w:tc>
          <w:tcPr>
            <w:tcW w:type="dxa" w:w="9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0.95</w:t>
            </w:r>
          </w:p>
        </w:tc>
        <w:tc>
          <w:tcPr>
            <w:tcW w:type="dxa" w:w="9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10.0</w:t>
            </w:r>
          </w:p>
        </w:tc>
        <w:tc>
          <w:tcPr>
            <w:tcW w:type="dxa" w:w="381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Immediate strong intent</w:t>
            </w:r>
          </w:p>
        </w:tc>
      </w:tr>
      <w:tr>
        <w:tc>
          <w:tcPr>
            <w:tcW w:type="dxa" w:w="1900"/>
            <w:vAlign w:val="center"/>
            <w:tcMar>
              <w:top w:w="100" w:type="dxa"/>
              <w:start w:w="120" w:type="dxa"/>
              <w:bottom w:w="100" w:type="dxa"/>
              <w:end w:w="120" w:type="dxa"/>
            </w:tcMar>
          </w:tcPr>
          <w:p>
            <w:pPr>
              <w:spacing w:after="0" w:line="259" w:lineRule="auto"/>
              <w:jc w:val="left"/>
            </w:pPr>
            <w:r>
              <w:rPr>
                <w:rFonts w:ascii="Calibri" w:hAnsi="Calibri"/>
                <w:color w:val="16182D"/>
                <w:sz w:val="15"/>
              </w:rPr>
              <w:t>cart_viewed</w:t>
            </w:r>
          </w:p>
        </w:tc>
        <w:tc>
          <w:tcPr>
            <w:tcW w:type="dxa" w:w="1850"/>
            <w:vAlign w:val="center"/>
            <w:tcMar>
              <w:top w:w="100" w:type="dxa"/>
              <w:start w:w="120" w:type="dxa"/>
              <w:bottom w:w="100" w:type="dxa"/>
              <w:end w:w="120" w:type="dxa"/>
            </w:tcMar>
          </w:tcPr>
          <w:p>
            <w:pPr>
              <w:spacing w:after="0" w:line="259" w:lineRule="auto"/>
              <w:jc w:val="center"/>
            </w:pPr>
            <w:r>
              <w:rPr>
                <w:rFonts w:ascii="Calibri" w:hAnsi="Calibri"/>
                <w:color w:val="16182D"/>
                <w:sz w:val="15"/>
              </w:rPr>
              <w:t>Cart review</w:t>
            </w:r>
          </w:p>
        </w:tc>
        <w:tc>
          <w:tcPr>
            <w:tcW w:type="dxa" w:w="900"/>
            <w:vAlign w:val="center"/>
            <w:tcMar>
              <w:top w:w="100" w:type="dxa"/>
              <w:start w:w="120" w:type="dxa"/>
              <w:bottom w:w="100" w:type="dxa"/>
              <w:end w:w="120" w:type="dxa"/>
            </w:tcMar>
          </w:tcPr>
          <w:p>
            <w:pPr>
              <w:spacing w:after="0" w:line="259" w:lineRule="auto"/>
              <w:jc w:val="center"/>
            </w:pPr>
            <w:r>
              <w:rPr>
                <w:rFonts w:ascii="Calibri" w:hAnsi="Calibri"/>
                <w:color w:val="16182D"/>
                <w:sz w:val="15"/>
              </w:rPr>
              <w:t>0.30</w:t>
            </w:r>
          </w:p>
        </w:tc>
        <w:tc>
          <w:tcPr>
            <w:tcW w:type="dxa" w:w="900"/>
            <w:vAlign w:val="center"/>
            <w:tcMar>
              <w:top w:w="100" w:type="dxa"/>
              <w:start w:w="120" w:type="dxa"/>
              <w:bottom w:w="100" w:type="dxa"/>
              <w:end w:w="120" w:type="dxa"/>
            </w:tcMar>
          </w:tcPr>
          <w:p>
            <w:pPr>
              <w:spacing w:after="0" w:line="259" w:lineRule="auto"/>
              <w:jc w:val="center"/>
            </w:pPr>
            <w:r>
              <w:rPr>
                <w:rFonts w:ascii="Calibri" w:hAnsi="Calibri"/>
                <w:color w:val="16182D"/>
                <w:sz w:val="15"/>
              </w:rPr>
              <w:t>1.5</w:t>
            </w:r>
          </w:p>
        </w:tc>
        <w:tc>
          <w:tcPr>
            <w:tcW w:type="dxa" w:w="3810"/>
            <w:vAlign w:val="center"/>
            <w:tcMar>
              <w:top w:w="100" w:type="dxa"/>
              <w:start w:w="120" w:type="dxa"/>
              <w:bottom w:w="100" w:type="dxa"/>
              <w:end w:w="120" w:type="dxa"/>
            </w:tcMar>
          </w:tcPr>
          <w:p>
            <w:pPr>
              <w:spacing w:after="0" w:line="259" w:lineRule="auto"/>
              <w:jc w:val="left"/>
            </w:pPr>
            <w:r>
              <w:rPr>
                <w:rFonts w:ascii="Calibri" w:hAnsi="Calibri"/>
                <w:color w:val="16182D"/>
                <w:sz w:val="15"/>
              </w:rPr>
              <w:t>Reconsidering saved course</w:t>
            </w:r>
          </w:p>
        </w:tc>
      </w:tr>
      <w:tr>
        <w:tc>
          <w:tcPr>
            <w:tcW w:type="dxa" w:w="19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removed_from_cart</w:t>
            </w:r>
          </w:p>
        </w:tc>
        <w:tc>
          <w:tcPr>
            <w:tcW w:type="dxa" w:w="185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Cart released</w:t>
            </w:r>
          </w:p>
        </w:tc>
        <w:tc>
          <w:tcPr>
            <w:tcW w:type="dxa" w:w="9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0.00</w:t>
            </w:r>
          </w:p>
        </w:tc>
        <w:tc>
          <w:tcPr>
            <w:tcW w:type="dxa" w:w="9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4.0</w:t>
            </w:r>
          </w:p>
        </w:tc>
        <w:tc>
          <w:tcPr>
            <w:tcW w:type="dxa" w:w="381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Makes course eligible again</w:t>
            </w:r>
          </w:p>
        </w:tc>
      </w:tr>
      <w:tr>
        <w:tc>
          <w:tcPr>
            <w:tcW w:type="dxa" w:w="1900"/>
            <w:vAlign w:val="center"/>
            <w:tcMar>
              <w:top w:w="100" w:type="dxa"/>
              <w:start w:w="120" w:type="dxa"/>
              <w:bottom w:w="100" w:type="dxa"/>
              <w:end w:w="120" w:type="dxa"/>
            </w:tcMar>
          </w:tcPr>
          <w:p>
            <w:pPr>
              <w:spacing w:after="0" w:line="259" w:lineRule="auto"/>
              <w:jc w:val="left"/>
            </w:pPr>
            <w:r>
              <w:rPr>
                <w:rFonts w:ascii="Calibri" w:hAnsi="Calibri"/>
                <w:color w:val="16182D"/>
                <w:sz w:val="15"/>
              </w:rPr>
              <w:t>recommendation_impression</w:t>
            </w:r>
          </w:p>
        </w:tc>
        <w:tc>
          <w:tcPr>
            <w:tcW w:type="dxa" w:w="1850"/>
            <w:vAlign w:val="center"/>
            <w:tcMar>
              <w:top w:w="100" w:type="dxa"/>
              <w:start w:w="120" w:type="dxa"/>
              <w:bottom w:w="100" w:type="dxa"/>
              <w:end w:w="120" w:type="dxa"/>
            </w:tcMar>
          </w:tcPr>
          <w:p>
            <w:pPr>
              <w:spacing w:after="0" w:line="259" w:lineRule="auto"/>
              <w:jc w:val="left"/>
            </w:pPr>
            <w:r>
              <w:rPr>
                <w:rFonts w:ascii="Calibri" w:hAnsi="Calibri"/>
                <w:color w:val="16182D"/>
                <w:sz w:val="15"/>
              </w:rPr>
              <w:t>Recommendation exposure</w:t>
            </w:r>
          </w:p>
        </w:tc>
        <w:tc>
          <w:tcPr>
            <w:tcW w:type="dxa" w:w="900"/>
            <w:vAlign w:val="center"/>
            <w:tcMar>
              <w:top w:w="100" w:type="dxa"/>
              <w:start w:w="120" w:type="dxa"/>
              <w:bottom w:w="100" w:type="dxa"/>
              <w:end w:w="120" w:type="dxa"/>
            </w:tcMar>
          </w:tcPr>
          <w:p>
            <w:pPr>
              <w:spacing w:after="0" w:line="259" w:lineRule="auto"/>
              <w:jc w:val="center"/>
            </w:pPr>
            <w:r>
              <w:rPr>
                <w:rFonts w:ascii="Calibri" w:hAnsi="Calibri"/>
                <w:color w:val="16182D"/>
                <w:sz w:val="15"/>
              </w:rPr>
              <w:t>0.00</w:t>
            </w:r>
          </w:p>
        </w:tc>
        <w:tc>
          <w:tcPr>
            <w:tcW w:type="dxa" w:w="900"/>
            <w:vAlign w:val="center"/>
            <w:tcMar>
              <w:top w:w="100" w:type="dxa"/>
              <w:start w:w="120" w:type="dxa"/>
              <w:bottom w:w="100" w:type="dxa"/>
              <w:end w:w="120" w:type="dxa"/>
            </w:tcMar>
          </w:tcPr>
          <w:p>
            <w:pPr>
              <w:spacing w:after="0" w:line="259" w:lineRule="auto"/>
              <w:jc w:val="center"/>
            </w:pPr>
            <w:r>
              <w:rPr>
                <w:rFonts w:ascii="Calibri" w:hAnsi="Calibri"/>
                <w:color w:val="16182D"/>
                <w:sz w:val="15"/>
              </w:rPr>
              <w:t>0.0</w:t>
            </w:r>
          </w:p>
        </w:tc>
        <w:tc>
          <w:tcPr>
            <w:tcW w:type="dxa" w:w="3810"/>
            <w:vAlign w:val="center"/>
            <w:tcMar>
              <w:top w:w="100" w:type="dxa"/>
              <w:start w:w="120" w:type="dxa"/>
              <w:bottom w:w="100" w:type="dxa"/>
              <w:end w:w="120" w:type="dxa"/>
            </w:tcMar>
          </w:tcPr>
          <w:p>
            <w:pPr>
              <w:spacing w:after="0" w:line="259" w:lineRule="auto"/>
              <w:jc w:val="center"/>
            </w:pPr>
            <w:r>
              <w:rPr>
                <w:rFonts w:ascii="Calibri" w:hAnsi="Calibri"/>
                <w:color w:val="16182D"/>
                <w:sz w:val="15"/>
              </w:rPr>
              <w:t>Measurement only</w:t>
            </w:r>
          </w:p>
        </w:tc>
      </w:tr>
      <w:tr>
        <w:tc>
          <w:tcPr>
            <w:tcW w:type="dxa" w:w="19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recommendation_clicked</w:t>
            </w:r>
          </w:p>
        </w:tc>
        <w:tc>
          <w:tcPr>
            <w:tcW w:type="dxa" w:w="185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Recommendation response</w:t>
            </w:r>
          </w:p>
        </w:tc>
        <w:tc>
          <w:tcPr>
            <w:tcW w:type="dxa" w:w="9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0.75</w:t>
            </w:r>
          </w:p>
        </w:tc>
        <w:tc>
          <w:tcPr>
            <w:tcW w:type="dxa" w:w="9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6.0</w:t>
            </w:r>
          </w:p>
        </w:tc>
        <w:tc>
          <w:tcPr>
            <w:tcW w:type="dxa" w:w="381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Positive feedback</w:t>
            </w:r>
          </w:p>
        </w:tc>
      </w:tr>
      <w:tr>
        <w:tc>
          <w:tcPr>
            <w:tcW w:type="dxa" w:w="1900"/>
            <w:vAlign w:val="center"/>
            <w:tcMar>
              <w:top w:w="100" w:type="dxa"/>
              <w:start w:w="120" w:type="dxa"/>
              <w:bottom w:w="100" w:type="dxa"/>
              <w:end w:w="120" w:type="dxa"/>
            </w:tcMar>
          </w:tcPr>
          <w:p>
            <w:pPr>
              <w:spacing w:after="0" w:line="259" w:lineRule="auto"/>
              <w:jc w:val="left"/>
            </w:pPr>
            <w:r>
              <w:rPr>
                <w:rFonts w:ascii="Calibri" w:hAnsi="Calibri"/>
                <w:color w:val="16182D"/>
                <w:sz w:val="15"/>
              </w:rPr>
              <w:t>recommendation_dismissed</w:t>
            </w:r>
          </w:p>
        </w:tc>
        <w:tc>
          <w:tcPr>
            <w:tcW w:type="dxa" w:w="1850"/>
            <w:vAlign w:val="center"/>
            <w:tcMar>
              <w:top w:w="100" w:type="dxa"/>
              <w:start w:w="120" w:type="dxa"/>
              <w:bottom w:w="100" w:type="dxa"/>
              <w:end w:w="120" w:type="dxa"/>
            </w:tcMar>
          </w:tcPr>
          <w:p>
            <w:pPr>
              <w:spacing w:after="0" w:line="259" w:lineRule="auto"/>
              <w:jc w:val="center"/>
            </w:pPr>
            <w:r>
              <w:rPr>
                <w:rFonts w:ascii="Calibri" w:hAnsi="Calibri"/>
                <w:color w:val="16182D"/>
                <w:sz w:val="15"/>
              </w:rPr>
              <w:t>Negative feedback</w:t>
            </w:r>
          </w:p>
        </w:tc>
        <w:tc>
          <w:tcPr>
            <w:tcW w:type="dxa" w:w="900"/>
            <w:vAlign w:val="center"/>
            <w:tcMar>
              <w:top w:w="100" w:type="dxa"/>
              <w:start w:w="120" w:type="dxa"/>
              <w:bottom w:w="100" w:type="dxa"/>
              <w:end w:w="120" w:type="dxa"/>
            </w:tcMar>
          </w:tcPr>
          <w:p>
            <w:pPr>
              <w:spacing w:after="0" w:line="259" w:lineRule="auto"/>
              <w:jc w:val="center"/>
            </w:pPr>
            <w:r>
              <w:rPr>
                <w:rFonts w:ascii="Calibri" w:hAnsi="Calibri"/>
                <w:color w:val="16182D"/>
                <w:sz w:val="15"/>
              </w:rPr>
              <w:t>-0.85</w:t>
            </w:r>
          </w:p>
        </w:tc>
        <w:tc>
          <w:tcPr>
            <w:tcW w:type="dxa" w:w="900"/>
            <w:vAlign w:val="center"/>
            <w:tcMar>
              <w:top w:w="100" w:type="dxa"/>
              <w:start w:w="120" w:type="dxa"/>
              <w:bottom w:w="100" w:type="dxa"/>
              <w:end w:w="120" w:type="dxa"/>
            </w:tcMar>
          </w:tcPr>
          <w:p>
            <w:pPr>
              <w:spacing w:after="0" w:line="259" w:lineRule="auto"/>
              <w:jc w:val="center"/>
            </w:pPr>
            <w:r>
              <w:rPr>
                <w:rFonts w:ascii="Calibri" w:hAnsi="Calibri"/>
                <w:color w:val="16182D"/>
                <w:sz w:val="15"/>
              </w:rPr>
              <w:t>6.0</w:t>
            </w:r>
          </w:p>
        </w:tc>
        <w:tc>
          <w:tcPr>
            <w:tcW w:type="dxa" w:w="3810"/>
            <w:vAlign w:val="center"/>
            <w:tcMar>
              <w:top w:w="100" w:type="dxa"/>
              <w:start w:w="120" w:type="dxa"/>
              <w:bottom w:w="100" w:type="dxa"/>
              <w:end w:w="120" w:type="dxa"/>
            </w:tcMar>
          </w:tcPr>
          <w:p>
            <w:pPr>
              <w:spacing w:after="0" w:line="259" w:lineRule="auto"/>
              <w:jc w:val="left"/>
            </w:pPr>
            <w:r>
              <w:rPr>
                <w:rFonts w:ascii="Calibri" w:hAnsi="Calibri"/>
                <w:color w:val="16182D"/>
                <w:sz w:val="15"/>
              </w:rPr>
              <w:t>Persistent Not for me</w:t>
            </w:r>
          </w:p>
        </w:tc>
      </w:tr>
      <w:tr>
        <w:tc>
          <w:tcPr>
            <w:tcW w:type="dxa" w:w="19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purchase_started</w:t>
            </w:r>
          </w:p>
        </w:tc>
        <w:tc>
          <w:tcPr>
            <w:tcW w:type="dxa" w:w="185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Purchase intent</w:t>
            </w:r>
          </w:p>
        </w:tc>
        <w:tc>
          <w:tcPr>
            <w:tcW w:type="dxa" w:w="9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0.90</w:t>
            </w:r>
          </w:p>
        </w:tc>
        <w:tc>
          <w:tcPr>
            <w:tcW w:type="dxa" w:w="9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5"/>
              </w:rPr>
              <w:t>10.0</w:t>
            </w:r>
          </w:p>
        </w:tc>
        <w:tc>
          <w:tcPr>
            <w:tcW w:type="dxa" w:w="381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High commercial intent</w:t>
            </w:r>
          </w:p>
        </w:tc>
      </w:tr>
      <w:tr>
        <w:tc>
          <w:tcPr>
            <w:tcW w:type="dxa" w:w="1900"/>
            <w:vAlign w:val="center"/>
            <w:tcMar>
              <w:top w:w="100" w:type="dxa"/>
              <w:start w:w="120" w:type="dxa"/>
              <w:bottom w:w="100" w:type="dxa"/>
              <w:end w:w="120" w:type="dxa"/>
            </w:tcMar>
          </w:tcPr>
          <w:p>
            <w:pPr>
              <w:spacing w:after="0" w:line="259" w:lineRule="auto"/>
              <w:jc w:val="left"/>
            </w:pPr>
            <w:r>
              <w:rPr>
                <w:rFonts w:ascii="Calibri" w:hAnsi="Calibri"/>
                <w:color w:val="16182D"/>
                <w:sz w:val="15"/>
              </w:rPr>
              <w:t>purchase_completed</w:t>
            </w:r>
          </w:p>
        </w:tc>
        <w:tc>
          <w:tcPr>
            <w:tcW w:type="dxa" w:w="1850"/>
            <w:vAlign w:val="center"/>
            <w:tcMar>
              <w:top w:w="100" w:type="dxa"/>
              <w:start w:w="120" w:type="dxa"/>
              <w:bottom w:w="100" w:type="dxa"/>
              <w:end w:w="120" w:type="dxa"/>
            </w:tcMar>
          </w:tcPr>
          <w:p>
            <w:pPr>
              <w:spacing w:after="0" w:line="259" w:lineRule="auto"/>
              <w:jc w:val="center"/>
            </w:pPr>
            <w:r>
              <w:rPr>
                <w:rFonts w:ascii="Calibri" w:hAnsi="Calibri"/>
                <w:color w:val="16182D"/>
                <w:sz w:val="15"/>
              </w:rPr>
              <w:t>Conversion</w:t>
            </w:r>
          </w:p>
        </w:tc>
        <w:tc>
          <w:tcPr>
            <w:tcW w:type="dxa" w:w="900"/>
            <w:vAlign w:val="center"/>
            <w:tcMar>
              <w:top w:w="100" w:type="dxa"/>
              <w:start w:w="120" w:type="dxa"/>
              <w:bottom w:w="100" w:type="dxa"/>
              <w:end w:w="120" w:type="dxa"/>
            </w:tcMar>
          </w:tcPr>
          <w:p>
            <w:pPr>
              <w:spacing w:after="0" w:line="259" w:lineRule="auto"/>
              <w:jc w:val="center"/>
            </w:pPr>
            <w:r>
              <w:rPr>
                <w:rFonts w:ascii="Calibri" w:hAnsi="Calibri"/>
                <w:color w:val="16182D"/>
                <w:sz w:val="15"/>
              </w:rPr>
              <w:t>1.00</w:t>
            </w:r>
          </w:p>
        </w:tc>
        <w:tc>
          <w:tcPr>
            <w:tcW w:type="dxa" w:w="900"/>
            <w:vAlign w:val="center"/>
            <w:tcMar>
              <w:top w:w="100" w:type="dxa"/>
              <w:start w:w="120" w:type="dxa"/>
              <w:bottom w:w="100" w:type="dxa"/>
              <w:end w:w="120" w:type="dxa"/>
            </w:tcMar>
          </w:tcPr>
          <w:p>
            <w:pPr>
              <w:spacing w:after="0" w:line="259" w:lineRule="auto"/>
              <w:jc w:val="center"/>
            </w:pPr>
            <w:r>
              <w:rPr>
                <w:rFonts w:ascii="Calibri" w:hAnsi="Calibri"/>
                <w:color w:val="16182D"/>
                <w:sz w:val="15"/>
              </w:rPr>
              <w:t>12.0</w:t>
            </w:r>
          </w:p>
        </w:tc>
        <w:tc>
          <w:tcPr>
            <w:tcW w:type="dxa" w:w="3810"/>
            <w:vAlign w:val="center"/>
            <w:tcMar>
              <w:top w:w="100" w:type="dxa"/>
              <w:start w:w="120" w:type="dxa"/>
              <w:bottom w:w="100" w:type="dxa"/>
              <w:end w:w="120" w:type="dxa"/>
            </w:tcMar>
          </w:tcPr>
          <w:p>
            <w:pPr>
              <w:spacing w:after="0" w:line="259" w:lineRule="auto"/>
              <w:jc w:val="center"/>
            </w:pPr>
            <w:r>
              <w:rPr>
                <w:rFonts w:ascii="Calibri" w:hAnsi="Calibri"/>
                <w:color w:val="16182D"/>
                <w:sz w:val="15"/>
              </w:rPr>
              <w:t>Completed outcome</w:t>
            </w:r>
          </w:p>
        </w:tc>
      </w:tr>
    </w:tbl>
    <w:p>
      <w:pPr>
        <w:spacing w:after="0"/>
      </w:pPr>
    </w:p>
    <w:p>
      <w:pPr>
        <w:pStyle w:val="Heading2"/>
        <w:keepNext/>
      </w:pPr>
      <w:r>
        <w:t>4.1 Dwell-time behavior</w:t>
      </w:r>
    </w:p>
    <w:p>
      <w:r>
        <w:rPr>
          <w:rFonts w:ascii="Calibri" w:hAnsi="Calibri"/>
          <w:color w:val="16182D"/>
        </w:rPr>
        <w:t>Dwell is active course-page time, not wall-clock time. Hidden-tab time is not counted. The first checkpoint is created at 15 active seconds, followed by approximately 15-second checkpoints. For the same user, session, and course, later checkpoints update one HIGH_ENGAGEMENT signal instead of flooding the profile.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5F6FA"/>
            <w:tcMar>
              <w:top w:w="100" w:type="dxa"/>
              <w:start w:w="120" w:type="dxa"/>
              <w:bottom w:w="100" w:type="dxa"/>
              <w:end w:w="120" w:type="dxa"/>
            </w:tcMar>
            <w:vAlign w:val="center"/>
          </w:tcPr>
          <w:p>
            <w:pPr>
              <w:spacing w:after="0" w:line="264" w:lineRule="auto"/>
            </w:pPr>
            <w:r>
              <w:rPr>
                <w:rFonts w:ascii="Consolas" w:hAnsi="Consolas"/>
                <w:color w:val="16182D"/>
                <w:sz w:val="18"/>
              </w:rPr>
              <w:t>dwell_strength = min(0.90, 0.35 + log(1 + min(seconds, 300)) / 10)</w:t>
            </w:r>
          </w:p>
        </w:tc>
      </w:tr>
    </w:tbl>
    <w:p>
      <w:pPr>
        <w:spacing w:after="0"/>
      </w:pPr>
    </w:p>
    <w:p>
      <w:r>
        <w:rPr>
          <w:rFonts w:ascii="Calibri" w:hAnsi="Calibri"/>
          <w:color w:val="16182D"/>
        </w:rPr>
        <w:t>The first qualifying dwell contributes 4 trigger points. Later checkpoints for the same signal contribute 1 point. Dwell below 15 seconds advances the event cursor but creates no signal.</w:t>
      </w:r>
    </w:p>
    <w:p>
      <w:pPr>
        <w:pStyle w:val="Heading1"/>
        <w:keepNext/>
      </w:pPr>
      <w:r>
        <w:t>5. Behavioral profile, lookback, and 72-hour decay</w:t>
      </w:r>
    </w:p>
    <w:p>
      <w:r>
        <w:rPr>
          <w:rFonts w:ascii="Calibri" w:hAnsi="Calibri"/>
          <w:color w:val="16182D"/>
        </w:rPr>
        <w:t>The recommender rebuilds the profile from up to the latest 500 signals for that user. There is no currently enforced fixed lookback-day filter. Each signal is assigned a nominal 30-day expires_at value, but the profile query does not yet exclude expired signals. Consequently, the effective lookback is the latest 500 signals with recency decay.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5F6FA"/>
            <w:tcMar>
              <w:top w:w="100" w:type="dxa"/>
              <w:start w:w="120" w:type="dxa"/>
              <w:bottom w:w="100" w:type="dxa"/>
              <w:end w:w="120" w:type="dxa"/>
            </w:tcMar>
            <w:vAlign w:val="center"/>
          </w:tcPr>
          <w:p>
            <w:pPr>
              <w:spacing w:after="0" w:line="264" w:lineRule="auto"/>
            </w:pPr>
            <w:r>
              <w:rPr>
                <w:rFonts w:ascii="Consolas" w:hAnsi="Consolas"/>
                <w:color w:val="16182D"/>
                <w:sz w:val="18"/>
              </w:rPr>
              <w:t>topic_weight += strength * confidence * 2^(-age_hours / 72)</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800"/>
        <w:gridCol w:w="1800"/>
        <w:gridCol w:w="5760"/>
      </w:tblGrid>
      <w:tr>
        <w:trPr>
          <w:tblHeader w:val="true"/>
        </w:trPr>
        <w:tc>
          <w:tcPr>
            <w:tcW w:type="dxa" w:w="1800"/>
            <w:shd w:fill="5445D6"/>
            <w:vAlign w:val="center"/>
            <w:tcMar>
              <w:top w:w="100" w:type="dxa"/>
              <w:start w:w="120" w:type="dxa"/>
              <w:bottom w:w="100" w:type="dxa"/>
              <w:end w:w="120" w:type="dxa"/>
            </w:tcMar>
          </w:tcPr>
          <w:p>
            <w:pPr>
              <w:spacing w:after="0"/>
              <w:jc w:val="left"/>
            </w:pPr>
            <w:r>
              <w:rPr>
                <w:rFonts w:ascii="Calibri" w:hAnsi="Calibri"/>
                <w:b/>
                <w:color w:val="FFFFFF"/>
                <w:sz w:val="17"/>
              </w:rPr>
              <w:t>Signal age</w:t>
            </w:r>
          </w:p>
        </w:tc>
        <w:tc>
          <w:tcPr>
            <w:tcW w:type="dxa" w:w="1800"/>
            <w:shd w:fill="5445D6"/>
            <w:vAlign w:val="center"/>
            <w:tcMar>
              <w:top w:w="100" w:type="dxa"/>
              <w:start w:w="120" w:type="dxa"/>
              <w:bottom w:w="100" w:type="dxa"/>
              <w:end w:w="120" w:type="dxa"/>
            </w:tcMar>
          </w:tcPr>
          <w:p>
            <w:pPr>
              <w:spacing w:after="0"/>
              <w:jc w:val="center"/>
            </w:pPr>
            <w:r>
              <w:rPr>
                <w:rFonts w:ascii="Calibri" w:hAnsi="Calibri"/>
                <w:b/>
                <w:color w:val="FFFFFF"/>
                <w:sz w:val="17"/>
              </w:rPr>
              <w:t>Weight retained</w:t>
            </w:r>
          </w:p>
        </w:tc>
        <w:tc>
          <w:tcPr>
            <w:tcW w:type="dxa" w:w="5760"/>
            <w:shd w:fill="5445D6"/>
            <w:vAlign w:val="center"/>
            <w:tcMar>
              <w:top w:w="100" w:type="dxa"/>
              <w:start w:w="120" w:type="dxa"/>
              <w:bottom w:w="100" w:type="dxa"/>
              <w:end w:w="120" w:type="dxa"/>
            </w:tcMar>
          </w:tcPr>
          <w:p>
            <w:pPr>
              <w:spacing w:after="0"/>
              <w:jc w:val="center"/>
            </w:pPr>
            <w:r>
              <w:rPr>
                <w:rFonts w:ascii="Calibri" w:hAnsi="Calibri"/>
                <w:b/>
                <w:color w:val="FFFFFF"/>
                <w:sz w:val="17"/>
              </w:rPr>
              <w:t>Meaning</w:t>
            </w:r>
          </w:p>
        </w:tc>
      </w:tr>
      <w:tr>
        <w:tc>
          <w:tcPr>
            <w:tcW w:type="dxa" w:w="1800"/>
            <w:vAlign w:val="center"/>
            <w:tcMar>
              <w:top w:w="100" w:type="dxa"/>
              <w:start w:w="120" w:type="dxa"/>
              <w:bottom w:w="100" w:type="dxa"/>
              <w:end w:w="120" w:type="dxa"/>
            </w:tcMar>
          </w:tcPr>
          <w:p>
            <w:pPr>
              <w:spacing w:after="0" w:line="259" w:lineRule="auto"/>
              <w:jc w:val="left"/>
            </w:pPr>
            <w:r>
              <w:rPr>
                <w:rFonts w:ascii="Calibri" w:hAnsi="Calibri"/>
                <w:color w:val="16182D"/>
                <w:sz w:val="17"/>
              </w:rPr>
              <w:t>0 hours</w:t>
            </w:r>
          </w:p>
        </w:tc>
        <w:tc>
          <w:tcPr>
            <w:tcW w:type="dxa" w:w="1800"/>
            <w:vAlign w:val="center"/>
            <w:tcMar>
              <w:top w:w="100" w:type="dxa"/>
              <w:start w:w="120" w:type="dxa"/>
              <w:bottom w:w="100" w:type="dxa"/>
              <w:end w:w="120" w:type="dxa"/>
            </w:tcMar>
          </w:tcPr>
          <w:p>
            <w:pPr>
              <w:spacing w:after="0" w:line="259" w:lineRule="auto"/>
              <w:jc w:val="center"/>
            </w:pPr>
            <w:r>
              <w:rPr>
                <w:rFonts w:ascii="Calibri" w:hAnsi="Calibri"/>
                <w:color w:val="16182D"/>
                <w:sz w:val="17"/>
              </w:rPr>
              <w:t>100%</w:t>
            </w:r>
          </w:p>
        </w:tc>
        <w:tc>
          <w:tcPr>
            <w:tcW w:type="dxa" w:w="5760"/>
            <w:vAlign w:val="center"/>
            <w:tcMar>
              <w:top w:w="100" w:type="dxa"/>
              <w:start w:w="120" w:type="dxa"/>
              <w:bottom w:w="100" w:type="dxa"/>
              <w:end w:w="120" w:type="dxa"/>
            </w:tcMar>
          </w:tcPr>
          <w:p>
            <w:pPr>
              <w:spacing w:after="0" w:line="259" w:lineRule="auto"/>
              <w:jc w:val="center"/>
            </w:pPr>
            <w:r>
              <w:rPr>
                <w:rFonts w:ascii="Calibri" w:hAnsi="Calibri"/>
                <w:color w:val="16182D"/>
                <w:sz w:val="17"/>
              </w:rPr>
              <w:t>Fresh evidence</w:t>
            </w:r>
          </w:p>
        </w:tc>
      </w:tr>
      <w:tr>
        <w:tc>
          <w:tcPr>
            <w:tcW w:type="dxa" w:w="18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24 hours</w:t>
            </w:r>
          </w:p>
        </w:tc>
        <w:tc>
          <w:tcPr>
            <w:tcW w:type="dxa" w:w="18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7"/>
              </w:rPr>
              <w:t>79%</w:t>
            </w:r>
          </w:p>
        </w:tc>
        <w:tc>
          <w:tcPr>
            <w:tcW w:type="dxa" w:w="576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Recent behavior remains strong</w:t>
            </w:r>
          </w:p>
        </w:tc>
      </w:tr>
      <w:tr>
        <w:tc>
          <w:tcPr>
            <w:tcW w:type="dxa" w:w="1800"/>
            <w:vAlign w:val="center"/>
            <w:tcMar>
              <w:top w:w="100" w:type="dxa"/>
              <w:start w:w="120" w:type="dxa"/>
              <w:bottom w:w="100" w:type="dxa"/>
              <w:end w:w="120" w:type="dxa"/>
            </w:tcMar>
          </w:tcPr>
          <w:p>
            <w:pPr>
              <w:spacing w:after="0" w:line="259" w:lineRule="auto"/>
              <w:jc w:val="left"/>
            </w:pPr>
            <w:r>
              <w:rPr>
                <w:rFonts w:ascii="Calibri" w:hAnsi="Calibri"/>
                <w:color w:val="16182D"/>
                <w:sz w:val="17"/>
              </w:rPr>
              <w:t>48 hours</w:t>
            </w:r>
          </w:p>
        </w:tc>
        <w:tc>
          <w:tcPr>
            <w:tcW w:type="dxa" w:w="1800"/>
            <w:vAlign w:val="center"/>
            <w:tcMar>
              <w:top w:w="100" w:type="dxa"/>
              <w:start w:w="120" w:type="dxa"/>
              <w:bottom w:w="100" w:type="dxa"/>
              <w:end w:w="120" w:type="dxa"/>
            </w:tcMar>
          </w:tcPr>
          <w:p>
            <w:pPr>
              <w:spacing w:after="0" w:line="259" w:lineRule="auto"/>
              <w:jc w:val="center"/>
            </w:pPr>
            <w:r>
              <w:rPr>
                <w:rFonts w:ascii="Calibri" w:hAnsi="Calibri"/>
                <w:color w:val="16182D"/>
                <w:sz w:val="17"/>
              </w:rPr>
              <w:t>63%</w:t>
            </w:r>
          </w:p>
        </w:tc>
        <w:tc>
          <w:tcPr>
            <w:tcW w:type="dxa" w:w="5760"/>
            <w:vAlign w:val="center"/>
            <w:tcMar>
              <w:top w:w="100" w:type="dxa"/>
              <w:start w:w="120" w:type="dxa"/>
              <w:bottom w:w="100" w:type="dxa"/>
              <w:end w:w="120" w:type="dxa"/>
            </w:tcMar>
          </w:tcPr>
          <w:p>
            <w:pPr>
              <w:spacing w:after="0" w:line="259" w:lineRule="auto"/>
              <w:jc w:val="center"/>
            </w:pPr>
            <w:r>
              <w:rPr>
                <w:rFonts w:ascii="Calibri" w:hAnsi="Calibri"/>
                <w:color w:val="16182D"/>
                <w:sz w:val="17"/>
              </w:rPr>
              <w:t>Still influential</w:t>
            </w:r>
          </w:p>
        </w:tc>
      </w:tr>
      <w:tr>
        <w:tc>
          <w:tcPr>
            <w:tcW w:type="dxa" w:w="18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72 hours</w:t>
            </w:r>
          </w:p>
        </w:tc>
        <w:tc>
          <w:tcPr>
            <w:tcW w:type="dxa" w:w="18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7"/>
              </w:rPr>
              <w:t>50%</w:t>
            </w:r>
          </w:p>
        </w:tc>
        <w:tc>
          <w:tcPr>
            <w:tcW w:type="dxa" w:w="576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7"/>
              </w:rPr>
              <w:t>One half-life</w:t>
            </w:r>
          </w:p>
        </w:tc>
      </w:tr>
      <w:tr>
        <w:tc>
          <w:tcPr>
            <w:tcW w:type="dxa" w:w="1800"/>
            <w:vAlign w:val="center"/>
            <w:tcMar>
              <w:top w:w="100" w:type="dxa"/>
              <w:start w:w="120" w:type="dxa"/>
              <w:bottom w:w="100" w:type="dxa"/>
              <w:end w:w="120" w:type="dxa"/>
            </w:tcMar>
          </w:tcPr>
          <w:p>
            <w:pPr>
              <w:spacing w:after="0" w:line="259" w:lineRule="auto"/>
              <w:jc w:val="left"/>
            </w:pPr>
            <w:r>
              <w:rPr>
                <w:rFonts w:ascii="Calibri" w:hAnsi="Calibri"/>
                <w:color w:val="16182D"/>
                <w:sz w:val="17"/>
              </w:rPr>
              <w:t>144 hours</w:t>
            </w:r>
          </w:p>
        </w:tc>
        <w:tc>
          <w:tcPr>
            <w:tcW w:type="dxa" w:w="1800"/>
            <w:vAlign w:val="center"/>
            <w:tcMar>
              <w:top w:w="100" w:type="dxa"/>
              <w:start w:w="120" w:type="dxa"/>
              <w:bottom w:w="100" w:type="dxa"/>
              <w:end w:w="120" w:type="dxa"/>
            </w:tcMar>
          </w:tcPr>
          <w:p>
            <w:pPr>
              <w:spacing w:after="0" w:line="259" w:lineRule="auto"/>
              <w:jc w:val="center"/>
            </w:pPr>
            <w:r>
              <w:rPr>
                <w:rFonts w:ascii="Calibri" w:hAnsi="Calibri"/>
                <w:color w:val="16182D"/>
                <w:sz w:val="17"/>
              </w:rPr>
              <w:t>25%</w:t>
            </w:r>
          </w:p>
        </w:tc>
        <w:tc>
          <w:tcPr>
            <w:tcW w:type="dxa" w:w="5760"/>
            <w:vAlign w:val="center"/>
            <w:tcMar>
              <w:top w:w="100" w:type="dxa"/>
              <w:start w:w="120" w:type="dxa"/>
              <w:bottom w:w="100" w:type="dxa"/>
              <w:end w:w="120" w:type="dxa"/>
            </w:tcMar>
          </w:tcPr>
          <w:p>
            <w:pPr>
              <w:spacing w:after="0" w:line="259" w:lineRule="auto"/>
              <w:jc w:val="center"/>
            </w:pPr>
            <w:r>
              <w:rPr>
                <w:rFonts w:ascii="Calibri" w:hAnsi="Calibri"/>
                <w:color w:val="16182D"/>
                <w:sz w:val="17"/>
              </w:rPr>
              <w:t>Two half-lives</w:t>
            </w:r>
          </w:p>
        </w:tc>
      </w:tr>
      <w:tr>
        <w:tc>
          <w:tcPr>
            <w:tcW w:type="dxa" w:w="18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216 hours</w:t>
            </w:r>
          </w:p>
        </w:tc>
        <w:tc>
          <w:tcPr>
            <w:tcW w:type="dxa" w:w="18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7"/>
              </w:rPr>
              <w:t>12.5%</w:t>
            </w:r>
          </w:p>
        </w:tc>
        <w:tc>
          <w:tcPr>
            <w:tcW w:type="dxa" w:w="576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Historical context only</w:t>
            </w:r>
          </w:p>
        </w:tc>
      </w:tr>
    </w:tbl>
    <w:p>
      <w:pPr>
        <w:spacing w:after="0"/>
      </w:pPr>
    </w:p>
    <w:p>
      <w:pPr>
        <w:pStyle w:val="ListBullet"/>
        <w:spacing w:after="80" w:line="300" w:lineRule="auto"/>
        <w:ind w:left="540" w:hanging="271"/>
      </w:pPr>
      <w:r>
        <w:rPr>
          <w:rFonts w:ascii="Calibri" w:hAnsi="Calibri"/>
          <w:color w:val="16182D"/>
        </w:rPr>
        <w:t>Primary intent: the highest positive recency-decayed topic weight.</w:t>
      </w:r>
    </w:p>
    <w:p>
      <w:pPr>
        <w:pStyle w:val="ListBullet"/>
        <w:spacing w:after="80" w:line="300" w:lineRule="auto"/>
        <w:ind w:left="540" w:hanging="271"/>
      </w:pPr>
      <w:r>
        <w:rPr>
          <w:rFonts w:ascii="Calibri" w:hAnsi="Calibri"/>
          <w:color w:val="16182D"/>
        </w:rPr>
        <w:t>Secondary intents: up to the next three positive topics.</w:t>
      </w:r>
    </w:p>
    <w:p>
      <w:pPr>
        <w:pStyle w:val="ListBullet"/>
        <w:spacing w:after="80" w:line="300" w:lineRule="auto"/>
        <w:ind w:left="540" w:hanging="271"/>
      </w:pPr>
      <w:r>
        <w:rPr>
          <w:rFonts w:ascii="Calibri" w:hAnsi="Calibri"/>
          <w:color w:val="16182D"/>
        </w:rPr>
        <w:t>Recent searches: the latest ten search strings; up to five are used in the RAG query and LLM prompt.</w:t>
      </w:r>
    </w:p>
    <w:p>
      <w:pPr>
        <w:pStyle w:val="ListBullet"/>
        <w:spacing w:after="80" w:line="300" w:lineRule="auto"/>
        <w:ind w:left="540" w:hanging="271"/>
      </w:pPr>
      <w:r>
        <w:rPr>
          <w:rFonts w:ascii="Calibri" w:hAnsi="Calibri"/>
          <w:color w:val="16182D"/>
        </w:rPr>
        <w:t>Positive products: strong positive signals with strength above 0.5.</w:t>
      </w:r>
    </w:p>
    <w:p>
      <w:pPr>
        <w:pStyle w:val="ListBullet"/>
        <w:spacing w:after="80" w:line="300" w:lineRule="auto"/>
        <w:ind w:left="540" w:hanging="271"/>
      </w:pPr>
      <w:r>
        <w:rPr>
          <w:rFonts w:ascii="Calibri" w:hAnsi="Calibri"/>
          <w:color w:val="16182D"/>
        </w:rPr>
        <w:t>Negative products: the current state of explicit Not for me actions; later positive behavior can clear the negative state.</w:t>
      </w:r>
    </w:p>
    <w:p>
      <w:pPr>
        <w:pStyle w:val="ListBullet"/>
        <w:spacing w:after="80" w:line="300" w:lineRule="auto"/>
        <w:ind w:left="540" w:hanging="271"/>
      </w:pPr>
      <w:r>
        <w:rPr>
          <w:rFonts w:ascii="Calibri" w:hAnsi="Calibri"/>
          <w:color w:val="16182D"/>
        </w:rPr>
        <w:t>Journey stage: exploration, comparison, purchase_intent, or conversion.</w:t>
      </w:r>
    </w:p>
    <w:p>
      <w:pPr>
        <w:pStyle w:val="ListBullet"/>
        <w:spacing w:after="80" w:line="300" w:lineRule="auto"/>
        <w:ind w:left="540" w:hanging="271"/>
      </w:pPr>
      <w:r>
        <w:rPr>
          <w:rFonts w:ascii="Calibri" w:hAnsi="Calibri"/>
          <w:color w:val="16182D"/>
        </w:rPr>
        <w:t>Profile confidence: positive weight from the top three topics, capped at 1.0.</w:t>
      </w:r>
    </w:p>
    <w:p>
      <w:pPr>
        <w:pStyle w:val="ListBullet"/>
        <w:spacing w:after="80" w:line="300" w:lineRule="auto"/>
        <w:ind w:left="540" w:hanging="271"/>
      </w:pPr>
      <w:r>
        <w:rPr>
          <w:rFonts w:ascii="Calibri" w:hAnsi="Calibri"/>
          <w:color w:val="16182D"/>
        </w:rPr>
        <w:t>Profile hash: prevents duplicate runs when the meaningful profile content has not changed.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7E9"/>
            <w:tcMar>
              <w:top w:w="100" w:type="dxa"/>
              <w:start w:w="120" w:type="dxa"/>
              <w:bottom w:w="100" w:type="dxa"/>
              <w:end w:w="120" w:type="dxa"/>
            </w:tcMar>
            <w:vAlign w:val="center"/>
          </w:tcPr>
          <w:p>
            <w:pPr>
              <w:spacing w:after="60"/>
            </w:pPr>
            <w:r>
              <w:rPr>
                <w:rFonts w:ascii="Calibri" w:hAnsi="Calibri"/>
                <w:b/>
                <w:color w:val="A56508"/>
                <w:sz w:val="17"/>
              </w:rPr>
              <w:t>CURRENT TEMPORAL LIMITATION</w:t>
            </w:r>
          </w:p>
          <w:p>
            <w:pPr>
              <w:spacing w:after="0" w:line="276" w:lineRule="auto"/>
            </w:pPr>
            <w:r>
              <w:rPr>
                <w:rFonts w:ascii="Calibri" w:hAnsi="Calibri"/>
                <w:color w:val="16182D"/>
                <w:sz w:val="20"/>
              </w:rPr>
              <w:t>The profile knows recency through decay but does not explicitly label stable, emerging, shifted, or mixed intent. The LLM receives aggregated primary/secondary interests, not a full chronological event timeline. A future 48-hour / 7-day / 30-day multi-window profile would make interest shifts explicit.</w:t>
            </w:r>
          </w:p>
        </w:tc>
      </w:tr>
    </w:tbl>
    <w:p>
      <w:pPr>
        <w:spacing w:after="0"/>
      </w:pPr>
    </w:p>
    <w:p>
      <w:pPr>
        <w:pStyle w:val="Heading1"/>
        <w:keepNext/>
      </w:pPr>
      <w:r>
        <w:t>6. Overall recommendation lifecycle</w:t>
      </w:r>
    </w:p>
    <w:p>
      <w:pPr>
        <w:pStyle w:val="Heading2"/>
        <w:keepNext/>
      </w:pPr>
      <w:r>
        <w:t>6.1 When it appears and refreshes</w:t>
      </w:r>
    </w:p>
    <w:p>
      <w:r>
        <w:rPr>
          <w:rFonts w:ascii="Calibri" w:hAnsi="Calibri"/>
          <w:color w:val="16182D"/>
        </w:rPr>
        <w:t>A new user does not receive the authoritative home-page recommendation after a passive impression. New trigger points must accumulate to the configured threshold of 8.0. Once a recommendation is stored, it remains visible while later evidence accumulates. After each successful claim, trigger_score resets to zero; another 8 points are required for the next refresh.</w:t>
      </w:r>
    </w:p>
    <w:tbl>
      <w:tblPr>
        <w:tblStyle w:val="TableGrid"/>
        <w:tblW w:type="dxa" w:w="9360"/>
        <w:jc w:val="left"/>
        <w:tblLayout w:type="fixed"/>
        <w:tblLook w:firstColumn="1" w:firstRow="1" w:lastColumn="0" w:lastRow="0" w:noHBand="0" w:noVBand="1" w:val="04A0"/>
        <w:tblInd w:w="120" w:type="dxa"/>
      </w:tblPr>
      <w:tblGrid>
        <w:gridCol w:w="4300"/>
        <w:gridCol w:w="2300"/>
        <w:gridCol w:w="2760"/>
      </w:tblGrid>
      <w:tr>
        <w:trPr>
          <w:tblHeader w:val="true"/>
        </w:trPr>
        <w:tc>
          <w:tcPr>
            <w:tcW w:type="dxa" w:w="4300"/>
            <w:shd w:fill="5445D6"/>
            <w:vAlign w:val="center"/>
            <w:tcMar>
              <w:top w:w="100" w:type="dxa"/>
              <w:start w:w="120" w:type="dxa"/>
              <w:bottom w:w="100" w:type="dxa"/>
              <w:end w:w="120" w:type="dxa"/>
            </w:tcMar>
          </w:tcPr>
          <w:p>
            <w:pPr>
              <w:spacing w:after="0"/>
              <w:jc w:val="left"/>
            </w:pPr>
            <w:r>
              <w:rPr>
                <w:rFonts w:ascii="Calibri" w:hAnsi="Calibri"/>
                <w:b/>
                <w:color w:val="FFFFFF"/>
                <w:sz w:val="17"/>
              </w:rPr>
              <w:t>Behavior sequence</w:t>
            </w:r>
          </w:p>
        </w:tc>
        <w:tc>
          <w:tcPr>
            <w:tcW w:type="dxa" w:w="2300"/>
            <w:shd w:fill="5445D6"/>
            <w:vAlign w:val="center"/>
            <w:tcMar>
              <w:top w:w="100" w:type="dxa"/>
              <w:start w:w="120" w:type="dxa"/>
              <w:bottom w:w="100" w:type="dxa"/>
              <w:end w:w="120" w:type="dxa"/>
            </w:tcMar>
          </w:tcPr>
          <w:p>
            <w:pPr>
              <w:spacing w:after="0"/>
              <w:jc w:val="center"/>
            </w:pPr>
            <w:r>
              <w:rPr>
                <w:rFonts w:ascii="Calibri" w:hAnsi="Calibri"/>
                <w:b/>
                <w:color w:val="FFFFFF"/>
                <w:sz w:val="17"/>
              </w:rPr>
              <w:t>Points</w:t>
            </w:r>
          </w:p>
        </w:tc>
        <w:tc>
          <w:tcPr>
            <w:tcW w:type="dxa" w:w="2760"/>
            <w:shd w:fill="5445D6"/>
            <w:vAlign w:val="center"/>
            <w:tcMar>
              <w:top w:w="100" w:type="dxa"/>
              <w:start w:w="120" w:type="dxa"/>
              <w:bottom w:w="100" w:type="dxa"/>
              <w:end w:w="120" w:type="dxa"/>
            </w:tcMar>
          </w:tcPr>
          <w:p>
            <w:pPr>
              <w:spacing w:after="0"/>
              <w:jc w:val="center"/>
            </w:pPr>
            <w:r>
              <w:rPr>
                <w:rFonts w:ascii="Calibri" w:hAnsi="Calibri"/>
                <w:b/>
                <w:color w:val="FFFFFF"/>
                <w:sz w:val="17"/>
              </w:rPr>
              <w:t>Run?</w:t>
            </w:r>
          </w:p>
        </w:tc>
      </w:tr>
      <w:tr>
        <w:tc>
          <w:tcPr>
            <w:tcW w:type="dxa" w:w="4300"/>
            <w:vAlign w:val="center"/>
            <w:tcMar>
              <w:top w:w="100" w:type="dxa"/>
              <w:start w:w="120" w:type="dxa"/>
              <w:bottom w:w="100" w:type="dxa"/>
              <w:end w:w="120" w:type="dxa"/>
            </w:tcMar>
          </w:tcPr>
          <w:p>
            <w:pPr>
              <w:spacing w:after="0" w:line="259" w:lineRule="auto"/>
              <w:jc w:val="left"/>
            </w:pPr>
            <w:r>
              <w:rPr>
                <w:rFonts w:ascii="Calibri" w:hAnsi="Calibri"/>
                <w:color w:val="16182D"/>
                <w:sz w:val="17"/>
              </w:rPr>
              <w:t>Search + product view</w:t>
            </w:r>
          </w:p>
        </w:tc>
        <w:tc>
          <w:tcPr>
            <w:tcW w:type="dxa" w:w="2300"/>
            <w:vAlign w:val="center"/>
            <w:tcMar>
              <w:top w:w="100" w:type="dxa"/>
              <w:start w:w="120" w:type="dxa"/>
              <w:bottom w:w="100" w:type="dxa"/>
              <w:end w:w="120" w:type="dxa"/>
            </w:tcMar>
          </w:tcPr>
          <w:p>
            <w:pPr>
              <w:spacing w:after="0" w:line="259" w:lineRule="auto"/>
              <w:jc w:val="center"/>
            </w:pPr>
            <w:r>
              <w:rPr>
                <w:rFonts w:ascii="Calibri" w:hAnsi="Calibri"/>
                <w:color w:val="16182D"/>
                <w:sz w:val="17"/>
              </w:rPr>
              <w:t>6 + 3 = 9</w:t>
            </w:r>
          </w:p>
        </w:tc>
        <w:tc>
          <w:tcPr>
            <w:tcW w:type="dxa" w:w="2760"/>
            <w:vAlign w:val="center"/>
            <w:tcMar>
              <w:top w:w="100" w:type="dxa"/>
              <w:start w:w="120" w:type="dxa"/>
              <w:bottom w:w="100" w:type="dxa"/>
              <w:end w:w="120" w:type="dxa"/>
            </w:tcMar>
          </w:tcPr>
          <w:p>
            <w:pPr>
              <w:spacing w:after="0" w:line="259" w:lineRule="auto"/>
              <w:jc w:val="center"/>
            </w:pPr>
            <w:r>
              <w:rPr>
                <w:rFonts w:ascii="Calibri" w:hAnsi="Calibri"/>
                <w:color w:val="16182D"/>
                <w:sz w:val="17"/>
              </w:rPr>
              <w:t>Yes</w:t>
            </w:r>
          </w:p>
        </w:tc>
      </w:tr>
      <w:tr>
        <w:tc>
          <w:tcPr>
            <w:tcW w:type="dxa" w:w="43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Product click + product view</w:t>
            </w:r>
          </w:p>
        </w:tc>
        <w:tc>
          <w:tcPr>
            <w:tcW w:type="dxa" w:w="23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7"/>
              </w:rPr>
              <w:t>5 + 3 = 8</w:t>
            </w:r>
          </w:p>
        </w:tc>
        <w:tc>
          <w:tcPr>
            <w:tcW w:type="dxa" w:w="276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7"/>
              </w:rPr>
              <w:t>Yes</w:t>
            </w:r>
          </w:p>
        </w:tc>
      </w:tr>
      <w:tr>
        <w:tc>
          <w:tcPr>
            <w:tcW w:type="dxa" w:w="4300"/>
            <w:vAlign w:val="center"/>
            <w:tcMar>
              <w:top w:w="100" w:type="dxa"/>
              <w:start w:w="120" w:type="dxa"/>
              <w:bottom w:w="100" w:type="dxa"/>
              <w:end w:w="120" w:type="dxa"/>
            </w:tcMar>
          </w:tcPr>
          <w:p>
            <w:pPr>
              <w:spacing w:after="0" w:line="259" w:lineRule="auto"/>
              <w:jc w:val="left"/>
            </w:pPr>
            <w:r>
              <w:rPr>
                <w:rFonts w:ascii="Calibri" w:hAnsi="Calibri"/>
                <w:color w:val="16182D"/>
                <w:sz w:val="17"/>
              </w:rPr>
              <w:t>Three product views</w:t>
            </w:r>
          </w:p>
        </w:tc>
        <w:tc>
          <w:tcPr>
            <w:tcW w:type="dxa" w:w="2300"/>
            <w:vAlign w:val="center"/>
            <w:tcMar>
              <w:top w:w="100" w:type="dxa"/>
              <w:start w:w="120" w:type="dxa"/>
              <w:bottom w:w="100" w:type="dxa"/>
              <w:end w:w="120" w:type="dxa"/>
            </w:tcMar>
          </w:tcPr>
          <w:p>
            <w:pPr>
              <w:spacing w:after="0" w:line="259" w:lineRule="auto"/>
              <w:jc w:val="center"/>
            </w:pPr>
            <w:r>
              <w:rPr>
                <w:rFonts w:ascii="Calibri" w:hAnsi="Calibri"/>
                <w:color w:val="16182D"/>
                <w:sz w:val="17"/>
              </w:rPr>
              <w:t>3 + 3 + 3 = 9</w:t>
            </w:r>
          </w:p>
        </w:tc>
        <w:tc>
          <w:tcPr>
            <w:tcW w:type="dxa" w:w="2760"/>
            <w:vAlign w:val="center"/>
            <w:tcMar>
              <w:top w:w="100" w:type="dxa"/>
              <w:start w:w="120" w:type="dxa"/>
              <w:bottom w:w="100" w:type="dxa"/>
              <w:end w:w="120" w:type="dxa"/>
            </w:tcMar>
          </w:tcPr>
          <w:p>
            <w:pPr>
              <w:spacing w:after="0" w:line="259" w:lineRule="auto"/>
              <w:jc w:val="center"/>
            </w:pPr>
            <w:r>
              <w:rPr>
                <w:rFonts w:ascii="Calibri" w:hAnsi="Calibri"/>
                <w:color w:val="16182D"/>
                <w:sz w:val="17"/>
              </w:rPr>
              <w:t>Yes</w:t>
            </w:r>
          </w:p>
        </w:tc>
      </w:tr>
      <w:tr>
        <w:tc>
          <w:tcPr>
            <w:tcW w:type="dxa" w:w="43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Add to cart</w:t>
            </w:r>
          </w:p>
        </w:tc>
        <w:tc>
          <w:tcPr>
            <w:tcW w:type="dxa" w:w="23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7"/>
              </w:rPr>
              <w:t>10</w:t>
            </w:r>
          </w:p>
        </w:tc>
        <w:tc>
          <w:tcPr>
            <w:tcW w:type="dxa" w:w="276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7"/>
              </w:rPr>
              <w:t>Yes immediately</w:t>
            </w:r>
          </w:p>
        </w:tc>
      </w:tr>
      <w:tr>
        <w:tc>
          <w:tcPr>
            <w:tcW w:type="dxa" w:w="4300"/>
            <w:vAlign w:val="center"/>
            <w:tcMar>
              <w:top w:w="100" w:type="dxa"/>
              <w:start w:w="120" w:type="dxa"/>
              <w:bottom w:w="100" w:type="dxa"/>
              <w:end w:w="120" w:type="dxa"/>
            </w:tcMar>
          </w:tcPr>
          <w:p>
            <w:pPr>
              <w:spacing w:after="0" w:line="259" w:lineRule="auto"/>
              <w:jc w:val="left"/>
            </w:pPr>
            <w:r>
              <w:rPr>
                <w:rFonts w:ascii="Calibri" w:hAnsi="Calibri"/>
                <w:color w:val="16182D"/>
                <w:sz w:val="17"/>
              </w:rPr>
              <w:t>Sixteen page views</w:t>
            </w:r>
          </w:p>
        </w:tc>
        <w:tc>
          <w:tcPr>
            <w:tcW w:type="dxa" w:w="2300"/>
            <w:vAlign w:val="center"/>
            <w:tcMar>
              <w:top w:w="100" w:type="dxa"/>
              <w:start w:w="120" w:type="dxa"/>
              <w:bottom w:w="100" w:type="dxa"/>
              <w:end w:w="120" w:type="dxa"/>
            </w:tcMar>
          </w:tcPr>
          <w:p>
            <w:pPr>
              <w:spacing w:after="0" w:line="259" w:lineRule="auto"/>
              <w:jc w:val="center"/>
            </w:pPr>
            <w:r>
              <w:rPr>
                <w:rFonts w:ascii="Calibri" w:hAnsi="Calibri"/>
                <w:color w:val="16182D"/>
                <w:sz w:val="17"/>
              </w:rPr>
              <w:t>16 x 0.5 = 8</w:t>
            </w:r>
          </w:p>
        </w:tc>
        <w:tc>
          <w:tcPr>
            <w:tcW w:type="dxa" w:w="2760"/>
            <w:vAlign w:val="center"/>
            <w:tcMar>
              <w:top w:w="100" w:type="dxa"/>
              <w:start w:w="120" w:type="dxa"/>
              <w:bottom w:w="100" w:type="dxa"/>
              <w:end w:w="120" w:type="dxa"/>
            </w:tcMar>
          </w:tcPr>
          <w:p>
            <w:pPr>
              <w:spacing w:after="0" w:line="259" w:lineRule="auto"/>
              <w:jc w:val="center"/>
            </w:pPr>
            <w:r>
              <w:rPr>
                <w:rFonts w:ascii="Calibri" w:hAnsi="Calibri"/>
                <w:color w:val="16182D"/>
                <w:sz w:val="17"/>
              </w:rPr>
              <w:t>Technically yes</w:t>
            </w:r>
          </w:p>
        </w:tc>
      </w:tr>
      <w:tr>
        <w:tc>
          <w:tcPr>
            <w:tcW w:type="dxa" w:w="43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Product impressions only</w:t>
            </w:r>
          </w:p>
        </w:tc>
        <w:tc>
          <w:tcPr>
            <w:tcW w:type="dxa" w:w="23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7"/>
              </w:rPr>
              <w:t>0</w:t>
            </w:r>
          </w:p>
        </w:tc>
        <w:tc>
          <w:tcPr>
            <w:tcW w:type="dxa" w:w="276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7"/>
              </w:rPr>
              <w:t>Never</w:t>
            </w:r>
          </w:p>
        </w:tc>
      </w:tr>
    </w:tbl>
    <w:p>
      <w:pPr>
        <w:spacing w:after="0"/>
      </w:pPr>
    </w:p>
    <w:p>
      <w:pPr>
        <w:pStyle w:val="ListBullet"/>
        <w:spacing w:after="80" w:line="300" w:lineRule="auto"/>
        <w:ind w:left="540" w:hanging="271"/>
      </w:pPr>
      <w:r>
        <w:rPr>
          <w:rFonts w:ascii="Calibri" w:hAnsi="Calibri"/>
          <w:color w:val="16182D"/>
        </w:rPr>
        <w:t>A 20-second cooldown prevents rapid duplicate overall runs.</w:t>
      </w:r>
    </w:p>
    <w:p>
      <w:pPr>
        <w:pStyle w:val="ListBullet"/>
        <w:spacing w:after="80" w:line="300" w:lineRule="auto"/>
        <w:ind w:left="540" w:hanging="271"/>
      </w:pPr>
      <w:r>
        <w:rPr>
          <w:rFonts w:ascii="Calibri" w:hAnsi="Calibri"/>
          <w:color w:val="16182D"/>
        </w:rPr>
        <w:t>An active run is not duplicated; new evidence can request a bounded follow-up run.</w:t>
      </w:r>
    </w:p>
    <w:p>
      <w:pPr>
        <w:pStyle w:val="ListBullet"/>
        <w:spacing w:after="80" w:line="300" w:lineRule="auto"/>
        <w:ind w:left="540" w:hanging="271"/>
      </w:pPr>
      <w:r>
        <w:rPr>
          <w:rFonts w:ascii="Calibri" w:hAnsi="Calibri"/>
          <w:color w:val="16182D"/>
        </w:rPr>
        <w:t>At most two automatic catch-up runs are executed after a completed run.</w:t>
      </w:r>
    </w:p>
    <w:p>
      <w:pPr>
        <w:pStyle w:val="ListBullet"/>
        <w:spacing w:after="80" w:line="300" w:lineRule="auto"/>
        <w:ind w:left="540" w:hanging="271"/>
      </w:pPr>
      <w:r>
        <w:rPr>
          <w:rFonts w:ascii="Calibri" w:hAnsi="Calibri"/>
          <w:color w:val="16182D"/>
        </w:rPr>
        <w:t>If the profile hash is unchanged, the system returns duplicate_profile instead of spending another LLM call.</w:t>
      </w:r>
    </w:p>
    <w:p>
      <w:pPr>
        <w:pStyle w:val="ListBullet"/>
        <w:spacing w:after="80" w:line="300" w:lineRule="auto"/>
        <w:ind w:left="540" w:hanging="271"/>
      </w:pPr>
      <w:r>
        <w:rPr>
          <w:rFonts w:ascii="Calibri" w:hAnsi="Calibri"/>
          <w:color w:val="16182D"/>
        </w:rPr>
        <w:t>The home page is server-rendered, so a newly persisted recommendation appears on the next navigation or refresh.</w:t>
      </w:r>
    </w:p>
    <w:p>
      <w:pPr>
        <w:pStyle w:val="Heading2"/>
        <w:keepNext/>
      </w:pPr>
      <w:r>
        <w:t>6.2 Overall RAG retrieval and deterministic ranking</w:t>
      </w:r>
    </w:p>
    <w:p>
      <w:r>
        <w:rPr>
          <w:rFonts w:ascii="Calibri" w:hAnsi="Calibri"/>
          <w:color w:val="16182D"/>
        </w:rPr>
        <w:t>The profile becomes a retrieval query containing the primary learning goal, secondary interests, up to five recent searches, and journey stage. The vector store returns up to 40 semantic candidates. SQL then verifies the current active catalog and scores every eligible product.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5F6FA"/>
            <w:tcMar>
              <w:top w:w="100" w:type="dxa"/>
              <w:start w:w="120" w:type="dxa"/>
              <w:bottom w:w="100" w:type="dxa"/>
              <w:end w:w="120" w:type="dxa"/>
            </w:tcMar>
            <w:vAlign w:val="center"/>
          </w:tcPr>
          <w:p>
            <w:pPr>
              <w:spacing w:after="0" w:line="264" w:lineRule="auto"/>
            </w:pPr>
            <w:r>
              <w:rPr>
                <w:rFonts w:ascii="Consolas" w:hAnsi="Consolas"/>
                <w:color w:val="16182D"/>
                <w:sz w:val="18"/>
              </w:rPr>
              <w:t>overall_score = 0.42 * semantic_similarity</w:t>
              <w:br/>
              <w:t xml:space="preserve">              + 0.25 * behavioral_topic_match</w:t>
              <w:br/>
              <w:t xml:space="preserve">              + 0.18 * search_term_match</w:t>
              <w:br/>
              <w:t xml:space="preserve">              + 0.08 * catalog_quality</w:t>
              <w:br/>
              <w:t xml:space="preserve">              + 0.07 * popularity</w:t>
              <w:br/>
              <w:t xml:space="preserve">              + 0.08 engagement_bonus (when applicable)</w:t>
            </w:r>
          </w:p>
        </w:tc>
      </w:tr>
    </w:tbl>
    <w:p>
      <w:pPr>
        <w:spacing w:after="0"/>
      </w:pPr>
    </w:p>
    <w:p>
      <w:pPr>
        <w:pStyle w:val="ListBullet"/>
        <w:spacing w:after="80" w:line="300" w:lineRule="auto"/>
        <w:ind w:left="540" w:hanging="271"/>
      </w:pPr>
      <w:r>
        <w:rPr>
          <w:rFonts w:ascii="Calibri" w:hAnsi="Calibri"/>
          <w:color w:val="16182D"/>
        </w:rPr>
        <w:t>Saved, purchased, explicitly dismissed, and other scope-excluded products are removed before selection.</w:t>
      </w:r>
    </w:p>
    <w:p>
      <w:pPr>
        <w:pStyle w:val="ListBullet"/>
        <w:spacing w:after="80" w:line="300" w:lineRule="auto"/>
        <w:ind w:left="540" w:hanging="271"/>
      </w:pPr>
      <w:r>
        <w:rPr>
          <w:rFonts w:ascii="Calibri" w:hAnsi="Calibri"/>
          <w:color w:val="16182D"/>
        </w:rPr>
        <w:t>The semantic score comes from Qdrant. Mesh embeddings are currently disabled, so the vector layer uses the deterministic local embedding fallback.</w:t>
      </w:r>
    </w:p>
    <w:p>
      <w:pPr>
        <w:pStyle w:val="ListBullet"/>
        <w:spacing w:after="80" w:line="300" w:lineRule="auto"/>
        <w:ind w:left="540" w:hanging="271"/>
      </w:pPr>
      <w:r>
        <w:rPr>
          <w:rFonts w:ascii="Calibri" w:hAnsi="Calibri"/>
          <w:color w:val="16182D"/>
        </w:rPr>
        <w:t>At most two selected courses come from one category before a broader fallback fills any remaining positions.</w:t>
      </w:r>
    </w:p>
    <w:p>
      <w:pPr>
        <w:pStyle w:val="ListBullet"/>
        <w:spacing w:after="80" w:line="300" w:lineRule="auto"/>
        <w:ind w:left="540" w:hanging="271"/>
      </w:pPr>
      <w:r>
        <w:rPr>
          <w:rFonts w:ascii="Calibri" w:hAnsi="Calibri"/>
          <w:color w:val="16182D"/>
        </w:rPr>
        <w:t>The graph requests the top three courses for the learner-facing panel.</w:t>
      </w:r>
    </w:p>
    <w:p>
      <w:pPr>
        <w:pStyle w:val="Heading2"/>
        <w:keepNext/>
      </w:pPr>
      <w:r>
        <w:t>6.3 Persistence and replacement</w:t>
      </w:r>
    </w:p>
    <w:p>
      <w:r>
        <w:rPr>
          <w:rFonts w:ascii="Calibri" w:hAnsi="Calibri"/>
          <w:color w:val="16182D"/>
        </w:rPr>
        <w:t>A successful run stores one Recommendation row, ordered RecommendationItem rows, a profile snapshot, model name, scores, explanation, and seven-day expiry timestamp. Before insertion, the prior active overall recommendation is marked superseded. The current homepage loader does not yet enforce expires_at, so an inactive learner's last active recommendation remains visible until replaced.</w:t>
      </w:r>
    </w:p>
    <w:p>
      <w:pPr>
        <w:pStyle w:val="Heading1"/>
        <w:keepNext/>
      </w:pPr>
      <w:r>
        <w:t>7. Course-detail recommendation lifecycle</w:t>
      </w:r>
    </w:p>
    <w:p>
      <w:r>
        <w:rPr>
          <w:rFonts w:ascii="Calibri" w:hAnsi="Calibri"/>
          <w:color w:val="16182D"/>
        </w:rPr>
        <w:t>The course-detail experience is not gated by the overall 8-point score. Opening or refreshing a course page creates a unique visit ID and attempts to claim one course-scoped run. This allows a new learner to receive useful next steps even before a rich behavioral history exists, because the current course itself supplies strong context.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5445D6"/>
            <w:vAlign w:val="center"/>
            <w:tcMar>
              <w:top w:w="100" w:type="dxa"/>
              <w:start w:w="120" w:type="dxa"/>
              <w:bottom w:w="100" w:type="dxa"/>
              <w:end w:w="120" w:type="dxa"/>
            </w:tcMar>
          </w:tcPr>
          <w:p>
            <w:pPr>
              <w:spacing w:after="0"/>
              <w:jc w:val="left"/>
            </w:pPr>
            <w:r>
              <w:rPr>
                <w:rFonts w:ascii="Calibri" w:hAnsi="Calibri"/>
                <w:b/>
                <w:color w:val="FFFFFF"/>
                <w:sz w:val="17"/>
              </w:rPr>
              <w:t>Property</w:t>
            </w:r>
          </w:p>
        </w:tc>
        <w:tc>
          <w:tcPr>
            <w:tcW w:type="dxa" w:w="7160"/>
            <w:shd w:fill="5445D6"/>
            <w:vAlign w:val="center"/>
            <w:tcMar>
              <w:top w:w="100" w:type="dxa"/>
              <w:start w:w="120" w:type="dxa"/>
              <w:bottom w:w="100" w:type="dxa"/>
              <w:end w:w="120" w:type="dxa"/>
            </w:tcMar>
          </w:tcPr>
          <w:p>
            <w:pPr>
              <w:spacing w:after="0"/>
              <w:jc w:val="center"/>
            </w:pPr>
            <w:r>
              <w:rPr>
                <w:rFonts w:ascii="Calibri" w:hAnsi="Calibri"/>
                <w:b/>
                <w:color w:val="FFFFFF"/>
                <w:sz w:val="17"/>
              </w:rPr>
              <w:t>Course-detail behavior</w:t>
            </w:r>
          </w:p>
        </w:tc>
      </w:tr>
      <w:tr>
        <w:tc>
          <w:tcPr>
            <w:tcW w:type="dxa" w:w="2200"/>
            <w:vAlign w:val="center"/>
            <w:tcMar>
              <w:top w:w="100" w:type="dxa"/>
              <w:start w:w="120" w:type="dxa"/>
              <w:bottom w:w="100" w:type="dxa"/>
              <w:end w:w="120" w:type="dxa"/>
            </w:tcMar>
          </w:tcPr>
          <w:p>
            <w:pPr>
              <w:spacing w:after="0" w:line="259" w:lineRule="auto"/>
              <w:jc w:val="left"/>
            </w:pPr>
            <w:r>
              <w:rPr>
                <w:rFonts w:ascii="Calibri" w:hAnsi="Calibri"/>
                <w:color w:val="16182D"/>
                <w:sz w:val="17"/>
              </w:rPr>
              <w:t>Trigger</w:t>
            </w:r>
          </w:p>
        </w:tc>
        <w:tc>
          <w:tcPr>
            <w:tcW w:type="dxa" w:w="7160"/>
            <w:vAlign w:val="center"/>
            <w:tcMar>
              <w:top w:w="100" w:type="dxa"/>
              <w:start w:w="120" w:type="dxa"/>
              <w:bottom w:w="100" w:type="dxa"/>
              <w:end w:w="120" w:type="dxa"/>
            </w:tcMar>
          </w:tcPr>
          <w:p>
            <w:pPr>
              <w:spacing w:after="0" w:line="259" w:lineRule="auto"/>
              <w:jc w:val="left"/>
            </w:pPr>
            <w:r>
              <w:rPr>
                <w:rFonts w:ascii="Calibri" w:hAnsi="Calibri"/>
                <w:color w:val="16182D"/>
                <w:sz w:val="17"/>
              </w:rPr>
              <w:t>Course page opened; no 8-point threshold</w:t>
            </w:r>
          </w:p>
        </w:tc>
      </w:tr>
      <w:tr>
        <w:tc>
          <w:tcPr>
            <w:tcW w:type="dxa" w:w="22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Anchor</w:t>
            </w:r>
          </w:p>
        </w:tc>
        <w:tc>
          <w:tcPr>
            <w:tcW w:type="dxa" w:w="716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The exact current course title, category, level, skills, description, and outcomes</w:t>
            </w:r>
          </w:p>
        </w:tc>
      </w:tr>
      <w:tr>
        <w:tc>
          <w:tcPr>
            <w:tcW w:type="dxa" w:w="2200"/>
            <w:vAlign w:val="center"/>
            <w:tcMar>
              <w:top w:w="100" w:type="dxa"/>
              <w:start w:w="120" w:type="dxa"/>
              <w:bottom w:w="100" w:type="dxa"/>
              <w:end w:w="120" w:type="dxa"/>
            </w:tcMar>
          </w:tcPr>
          <w:p>
            <w:pPr>
              <w:spacing w:after="0" w:line="259" w:lineRule="auto"/>
              <w:jc w:val="left"/>
            </w:pPr>
            <w:r>
              <w:rPr>
                <w:rFonts w:ascii="Calibri" w:hAnsi="Calibri"/>
                <w:color w:val="16182D"/>
                <w:sz w:val="17"/>
              </w:rPr>
              <w:t>Personalization</w:t>
            </w:r>
          </w:p>
        </w:tc>
        <w:tc>
          <w:tcPr>
            <w:tcW w:type="dxa" w:w="7160"/>
            <w:vAlign w:val="center"/>
            <w:tcMar>
              <w:top w:w="100" w:type="dxa"/>
              <w:start w:w="120" w:type="dxa"/>
              <w:bottom w:w="100" w:type="dxa"/>
              <w:end w:w="120" w:type="dxa"/>
            </w:tcMar>
          </w:tcPr>
          <w:p>
            <w:pPr>
              <w:spacing w:after="0" w:line="259" w:lineRule="auto"/>
              <w:jc w:val="left"/>
            </w:pPr>
            <w:r>
              <w:rPr>
                <w:rFonts w:ascii="Calibri" w:hAnsi="Calibri"/>
                <w:color w:val="16182D"/>
                <w:sz w:val="17"/>
              </w:rPr>
              <w:t>Accumulated user profile adjusts related-course order and learning-path direction</w:t>
            </w:r>
          </w:p>
        </w:tc>
      </w:tr>
      <w:tr>
        <w:tc>
          <w:tcPr>
            <w:tcW w:type="dxa" w:w="22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Provider calls</w:t>
            </w:r>
          </w:p>
        </w:tc>
        <w:tc>
          <w:tcPr>
            <w:tcW w:type="dxa" w:w="716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Exactly one configured free-model attempt per page visit; deterministic fallback if it fails</w:t>
            </w:r>
          </w:p>
        </w:tc>
      </w:tr>
      <w:tr>
        <w:tc>
          <w:tcPr>
            <w:tcW w:type="dxa" w:w="2200"/>
            <w:vAlign w:val="center"/>
            <w:tcMar>
              <w:top w:w="100" w:type="dxa"/>
              <w:start w:w="120" w:type="dxa"/>
              <w:bottom w:w="100" w:type="dxa"/>
              <w:end w:w="120" w:type="dxa"/>
            </w:tcMar>
          </w:tcPr>
          <w:p>
            <w:pPr>
              <w:spacing w:after="0" w:line="259" w:lineRule="auto"/>
              <w:jc w:val="left"/>
            </w:pPr>
            <w:r>
              <w:rPr>
                <w:rFonts w:ascii="Calibri" w:hAnsi="Calibri"/>
                <w:color w:val="16182D"/>
                <w:sz w:val="17"/>
              </w:rPr>
              <w:t>Maximum output</w:t>
            </w:r>
          </w:p>
        </w:tc>
        <w:tc>
          <w:tcPr>
            <w:tcW w:type="dxa" w:w="7160"/>
            <w:vAlign w:val="center"/>
            <w:tcMar>
              <w:top w:w="100" w:type="dxa"/>
              <w:start w:w="120" w:type="dxa"/>
              <w:bottom w:w="100" w:type="dxa"/>
              <w:end w:w="120" w:type="dxa"/>
            </w:tcMar>
          </w:tcPr>
          <w:p>
            <w:pPr>
              <w:spacing w:after="0" w:line="259" w:lineRule="auto"/>
              <w:jc w:val="left"/>
            </w:pPr>
            <w:r>
              <w:rPr>
                <w:rFonts w:ascii="Calibri" w:hAnsi="Calibri"/>
                <w:color w:val="16182D"/>
                <w:sz w:val="17"/>
              </w:rPr>
              <w:t>Up to three courses; fewer are allowed when relevance is insufficient</w:t>
            </w:r>
          </w:p>
        </w:tc>
      </w:tr>
      <w:tr>
        <w:tc>
          <w:tcPr>
            <w:tcW w:type="dxa" w:w="22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UI state</w:t>
            </w:r>
          </w:p>
        </w:tc>
        <w:tc>
          <w:tcPr>
            <w:tcW w:type="dxa" w:w="716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Generating spinner -&gt; current timestamp on success, or a recoverable failed state</w:t>
            </w:r>
          </w:p>
        </w:tc>
      </w:tr>
      <w:tr>
        <w:tc>
          <w:tcPr>
            <w:tcW w:type="dxa" w:w="2200"/>
            <w:vAlign w:val="center"/>
            <w:tcMar>
              <w:top w:w="100" w:type="dxa"/>
              <w:start w:w="120" w:type="dxa"/>
              <w:bottom w:w="100" w:type="dxa"/>
              <w:end w:w="120" w:type="dxa"/>
            </w:tcMar>
          </w:tcPr>
          <w:p>
            <w:pPr>
              <w:spacing w:after="0" w:line="259" w:lineRule="auto"/>
              <w:jc w:val="left"/>
            </w:pPr>
            <w:r>
              <w:rPr>
                <w:rFonts w:ascii="Calibri" w:hAnsi="Calibri"/>
                <w:color w:val="16182D"/>
                <w:sz w:val="17"/>
              </w:rPr>
              <w:t>Persistence</w:t>
            </w:r>
          </w:p>
        </w:tc>
        <w:tc>
          <w:tcPr>
            <w:tcW w:type="dxa" w:w="7160"/>
            <w:vAlign w:val="center"/>
            <w:tcMar>
              <w:top w:w="100" w:type="dxa"/>
              <w:start w:w="120" w:type="dxa"/>
              <w:bottom w:w="100" w:type="dxa"/>
              <w:end w:w="120" w:type="dxa"/>
            </w:tcMar>
          </w:tcPr>
          <w:p>
            <w:pPr>
              <w:spacing w:after="0" w:line="259" w:lineRule="auto"/>
              <w:jc w:val="left"/>
            </w:pPr>
            <w:r>
              <w:rPr>
                <w:rFonts w:ascii="Calibri" w:hAnsi="Calibri"/>
                <w:color w:val="16182D"/>
                <w:sz w:val="17"/>
              </w:rPr>
              <w:t>User ID, recommendation ID, source course, selected course IDs, scores, copy, and run evidence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0EEFF"/>
            <w:tcMar>
              <w:top w:w="100" w:type="dxa"/>
              <w:start w:w="120" w:type="dxa"/>
              <w:bottom w:w="100" w:type="dxa"/>
              <w:end w:w="120" w:type="dxa"/>
            </w:tcMar>
            <w:vAlign w:val="center"/>
          </w:tcPr>
          <w:p>
            <w:pPr>
              <w:spacing w:after="60"/>
            </w:pPr>
            <w:r>
              <w:rPr>
                <w:rFonts w:ascii="Calibri" w:hAnsi="Calibri"/>
                <w:b/>
                <w:color w:val="5445D6"/>
                <w:sz w:val="17"/>
              </w:rPr>
              <w:t>VISIT EVIDENCE TIMING</w:t>
            </w:r>
          </w:p>
          <w:p>
            <w:pPr>
              <w:spacing w:after="0" w:line="276" w:lineRule="auto"/>
            </w:pPr>
            <w:r>
              <w:rPr>
                <w:rFonts w:ascii="Calibri" w:hAnsi="Calibri"/>
                <w:color w:val="16182D"/>
                <w:sz w:val="20"/>
              </w:rPr>
              <w:t>The course-scoped run is queued during the page GET. The product_viewed event and dwell checkpoints from that same visit are recorded immediately afterward but are intentionally marked for the next visit, avoiding a second LLM workflow during the current visit.</w:t>
            </w:r>
          </w:p>
        </w:tc>
      </w:tr>
    </w:tbl>
    <w:p>
      <w:pPr>
        <w:spacing w:after="0"/>
      </w:pPr>
    </w:p>
    <w:p>
      <w:pPr>
        <w:pStyle w:val="Heading2"/>
        <w:keepNext/>
      </w:pPr>
      <w:r>
        <w:t>7.1 Contextual relevance gate</w:t>
      </w:r>
    </w:p>
    <w:p>
      <w:r>
        <w:rPr>
          <w:rFonts w:ascii="Calibri" w:hAnsi="Calibri"/>
          <w:color w:val="16182D"/>
        </w:rPr>
        <w:t>A candidate cannot enter the course-detail ranking merely because the learner likes it globally. It must first be defensibly related to the course being viewed through at least one gate:</w:t>
      </w:r>
    </w:p>
    <w:p>
      <w:pPr>
        <w:pStyle w:val="ListBullet"/>
        <w:spacing w:after="80" w:line="300" w:lineRule="auto"/>
        <w:ind w:left="540" w:hanging="271"/>
      </w:pPr>
      <w:r>
        <w:rPr>
          <w:rFonts w:ascii="Calibri" w:hAnsi="Calibri"/>
          <w:color w:val="16182D"/>
        </w:rPr>
        <w:t>Same category: path relevance = 1.00.</w:t>
      </w:r>
    </w:p>
    <w:p>
      <w:pPr>
        <w:pStyle w:val="ListBullet"/>
        <w:spacing w:after="80" w:line="300" w:lineRule="auto"/>
        <w:ind w:left="540" w:hanging="271"/>
      </w:pPr>
      <w:r>
        <w:rPr>
          <w:rFonts w:ascii="Calibri" w:hAnsi="Calibri"/>
          <w:color w:val="16182D"/>
        </w:rPr>
        <w:t>Catalog-defined adjacent category: path relevance = 0.72.</w:t>
      </w:r>
    </w:p>
    <w:p>
      <w:pPr>
        <w:pStyle w:val="ListBullet"/>
        <w:spacing w:after="80" w:line="300" w:lineRule="auto"/>
        <w:ind w:left="540" w:hanging="271"/>
      </w:pPr>
      <w:r>
        <w:rPr>
          <w:rFonts w:ascii="Calibri" w:hAnsi="Calibri"/>
          <w:color w:val="16182D"/>
        </w:rPr>
        <w:t>Shared meaningful skills without a configured category edge: path relevance = 0.58.</w:t>
      </w:r>
    </w:p>
    <w:p>
      <w:pPr>
        <w:pStyle w:val="ListBullet"/>
        <w:spacing w:after="80" w:line="300" w:lineRule="auto"/>
        <w:ind w:left="540" w:hanging="271"/>
      </w:pPr>
      <w:r>
        <w:rPr>
          <w:rFonts w:ascii="Calibri" w:hAnsi="Calibri"/>
          <w:color w:val="16182D"/>
        </w:rPr>
        <w:t>No same domain, adjacent path, or shared skill: candidate is rejected before ranking.</w:t>
      </w:r>
    </w:p>
    <w:p>
      <w:r>
        <w:rPr>
          <w:rFonts w:ascii="Calibri" w:hAnsi="Calibri"/>
          <w:color w:val="16182D"/>
        </w:rPr>
        <w:t>The catalog currently defines adjacent paths across Agentic AI, LLMs, Generative AI, Python, Java, Scala, Web Technologies, Data Engineering, MLOps, and Cloud &amp; DevOps.</w:t>
      </w:r>
    </w:p>
    <w:p>
      <w:pPr>
        <w:pStyle w:val="Heading2"/>
        <w:keepNext/>
      </w:pPr>
      <w:r>
        <w:t>7.2 Contextual-behavioral score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5F6FA"/>
            <w:tcMar>
              <w:top w:w="100" w:type="dxa"/>
              <w:start w:w="120" w:type="dxa"/>
              <w:bottom w:w="100" w:type="dxa"/>
              <w:end w:w="120" w:type="dxa"/>
            </w:tcMar>
            <w:vAlign w:val="center"/>
          </w:tcPr>
          <w:p>
            <w:pPr>
              <w:spacing w:after="0" w:line="264" w:lineRule="auto"/>
            </w:pPr>
            <w:r>
              <w:rPr>
                <w:rFonts w:ascii="Consolas" w:hAnsi="Consolas"/>
                <w:color w:val="16182D"/>
                <w:sz w:val="18"/>
              </w:rPr>
              <w:t>context_score = 0.40 * current_course_semantic_similarity</w:t>
              <w:br/>
              <w:t xml:space="preserve">              + 0.27 * learning_path_relevance</w:t>
              <w:br/>
              <w:t xml:space="preserve">              + 0.18 * learner_behavior</w:t>
              <w:br/>
              <w:t xml:space="preserve">              + 0.10 * shared_skill_overlap</w:t>
              <w:br/>
              <w:t xml:space="preserve">              + 0.05 * level_progression</w:t>
            </w:r>
          </w:p>
        </w:tc>
      </w:tr>
    </w:tbl>
    <w:p>
      <w:pPr>
        <w:spacing w:after="0"/>
      </w:pPr>
    </w:p>
    <w:p>
      <w:r>
        <w:rPr>
          <w:rFonts w:ascii="Calibri" w:hAnsi="Calibri"/>
          <w:color w:val="16182D"/>
        </w:rPr>
        <w:t>Learner behavior is itself a bounded blend of category affinity (65%), recent-search match (25%), and prior positive product engagement (10%). Level progression rewards sensible moves such as beginner to intermediate or intermediate to advanced.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5F6FA"/>
            <w:tcMar>
              <w:top w:w="100" w:type="dxa"/>
              <w:start w:w="120" w:type="dxa"/>
              <w:bottom w:w="100" w:type="dxa"/>
              <w:end w:w="120" w:type="dxa"/>
            </w:tcMar>
            <w:vAlign w:val="center"/>
          </w:tcPr>
          <w:p>
            <w:pPr>
              <w:spacing w:after="0" w:line="264" w:lineRule="auto"/>
            </w:pPr>
            <w:r>
              <w:rPr>
                <w:rFonts w:ascii="Consolas" w:hAnsi="Consolas"/>
                <w:color w:val="16182D"/>
                <w:sz w:val="18"/>
              </w:rPr>
              <w:t>fit_confidence = min(0.98,</w:t>
              <w:br/>
              <w:t xml:space="preserve">    0.35 * semantic + 0.35 * path + 0.15 * behavior</w:t>
              <w:br/>
              <w:t>+    + 0.10 * level_progression + 0.05 * evidence_coverage)</w:t>
            </w:r>
          </w:p>
        </w:tc>
      </w:tr>
    </w:tbl>
    <w:p>
      <w:pPr>
        <w:spacing w:after="0"/>
      </w:pPr>
    </w:p>
    <w:p>
      <w:r>
        <w:rPr>
          <w:rFonts w:ascii="Calibri" w:hAnsi="Calibri"/>
          <w:color w:val="16182D"/>
        </w:rPr>
        <w:t>interest_likelihood is a logistic transformation of the hybrid score: 1 / (1 + exp(-8 * (score - 0.42))). It is an interpretable fit indicator, not a calibrated probability of purchase.</w:t>
      </w:r>
    </w:p>
    <w:p>
      <w:pPr>
        <w:pStyle w:val="ListBullet"/>
        <w:spacing w:after="80" w:line="300" w:lineRule="auto"/>
        <w:ind w:left="540" w:hanging="271"/>
      </w:pPr>
      <w:r>
        <w:rPr>
          <w:rFonts w:ascii="Calibri" w:hAnsi="Calibri"/>
          <w:color w:val="16182D"/>
        </w:rPr>
        <w:t>The current course, carted courses, purchased courses, and explicitly dismissed courses are excluded.</w:t>
      </w:r>
    </w:p>
    <w:p>
      <w:pPr>
        <w:pStyle w:val="ListBullet"/>
        <w:spacing w:after="80" w:line="300" w:lineRule="auto"/>
        <w:ind w:left="540" w:hanging="271"/>
      </w:pPr>
      <w:r>
        <w:rPr>
          <w:rFonts w:ascii="Calibri" w:hAnsi="Calibri"/>
          <w:color w:val="16182D"/>
        </w:rPr>
        <w:t>At most two results may come from one category, preventing 'the other courses in this department' from filling the entire panel.</w:t>
      </w:r>
    </w:p>
    <w:p>
      <w:pPr>
        <w:pStyle w:val="ListBullet"/>
        <w:spacing w:after="80" w:line="300" w:lineRule="auto"/>
        <w:ind w:left="540" w:hanging="271"/>
      </w:pPr>
      <w:r>
        <w:rPr>
          <w:rFonts w:ascii="Calibri" w:hAnsi="Calibri"/>
          <w:color w:val="16182D"/>
        </w:rPr>
        <w:t>The third result must contribute a defensible adjacent learning-path or shared-skill angle.</w:t>
      </w:r>
    </w:p>
    <w:p>
      <w:pPr>
        <w:pStyle w:val="Heading1"/>
        <w:keepNext/>
      </w:pPr>
      <w:r>
        <w:t>8. The shared LangGraph workflow</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5F6FA"/>
            <w:tcMar>
              <w:top w:w="100" w:type="dxa"/>
              <w:start w:w="120" w:type="dxa"/>
              <w:bottom w:w="100" w:type="dxa"/>
              <w:end w:w="120" w:type="dxa"/>
            </w:tcMar>
            <w:vAlign w:val="center"/>
          </w:tcPr>
          <w:p>
            <w:pPr>
              <w:spacing w:after="0" w:line="264" w:lineRule="auto"/>
            </w:pPr>
            <w:r>
              <w:rPr>
                <w:rFonts w:ascii="Consolas" w:hAnsi="Consolas"/>
                <w:color w:val="16182D"/>
                <w:sz w:val="18"/>
              </w:rPr>
              <w:t>START -&gt; load -&gt; retrieve -&gt; verify_with_mcp -&gt; generate -&gt; validate</w:t>
              <w:br/>
              <w:t xml:space="preserve">                                                       | valid   -&gt; persist -&gt; END</w:t>
              <w:br/>
              <w:t xml:space="preserve">                                                       | invalid -&gt; fallback -&gt; persist -&gt; END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4930"/>
        <w:gridCol w:w="2930"/>
      </w:tblGrid>
      <w:tr>
        <w:trPr>
          <w:tblHeader w:val="true"/>
        </w:trPr>
        <w:tc>
          <w:tcPr>
            <w:tcW w:type="dxa" w:w="1500"/>
            <w:shd w:fill="5445D6"/>
            <w:vAlign w:val="center"/>
            <w:tcMar>
              <w:top w:w="100" w:type="dxa"/>
              <w:start w:w="120" w:type="dxa"/>
              <w:bottom w:w="100" w:type="dxa"/>
              <w:end w:w="120" w:type="dxa"/>
            </w:tcMar>
          </w:tcPr>
          <w:p>
            <w:pPr>
              <w:spacing w:after="0"/>
              <w:jc w:val="left"/>
            </w:pPr>
            <w:r>
              <w:rPr>
                <w:rFonts w:ascii="Calibri" w:hAnsi="Calibri"/>
                <w:b/>
                <w:color w:val="FFFFFF"/>
                <w:sz w:val="17"/>
              </w:rPr>
              <w:t>Node</w:t>
            </w:r>
          </w:p>
        </w:tc>
        <w:tc>
          <w:tcPr>
            <w:tcW w:type="dxa" w:w="4930"/>
            <w:shd w:fill="5445D6"/>
            <w:vAlign w:val="center"/>
            <w:tcMar>
              <w:top w:w="100" w:type="dxa"/>
              <w:start w:w="120" w:type="dxa"/>
              <w:bottom w:w="100" w:type="dxa"/>
              <w:end w:w="120" w:type="dxa"/>
            </w:tcMar>
          </w:tcPr>
          <w:p>
            <w:pPr>
              <w:spacing w:after="0"/>
              <w:jc w:val="center"/>
            </w:pPr>
            <w:r>
              <w:rPr>
                <w:rFonts w:ascii="Calibri" w:hAnsi="Calibri"/>
                <w:b/>
                <w:color w:val="FFFFFF"/>
                <w:sz w:val="17"/>
              </w:rPr>
              <w:t>Definition</w:t>
            </w:r>
          </w:p>
        </w:tc>
        <w:tc>
          <w:tcPr>
            <w:tcW w:type="dxa" w:w="2930"/>
            <w:shd w:fill="5445D6"/>
            <w:vAlign w:val="center"/>
            <w:tcMar>
              <w:top w:w="100" w:type="dxa"/>
              <w:start w:w="120" w:type="dxa"/>
              <w:bottom w:w="100" w:type="dxa"/>
              <w:end w:w="120" w:type="dxa"/>
            </w:tcMar>
          </w:tcPr>
          <w:p>
            <w:pPr>
              <w:spacing w:after="0"/>
              <w:jc w:val="center"/>
            </w:pPr>
            <w:r>
              <w:rPr>
                <w:rFonts w:ascii="Calibri" w:hAnsi="Calibri"/>
                <w:b/>
                <w:color w:val="FFFFFF"/>
                <w:sz w:val="17"/>
              </w:rPr>
              <w:t>Output / relationship</w:t>
            </w:r>
          </w:p>
        </w:tc>
      </w:tr>
      <w:tr>
        <w:tc>
          <w:tcPr>
            <w:tcW w:type="dxa" w:w="1500"/>
            <w:vAlign w:val="center"/>
            <w:tcMar>
              <w:top w:w="100" w:type="dxa"/>
              <w:start w:w="120" w:type="dxa"/>
              <w:bottom w:w="100" w:type="dxa"/>
              <w:end w:w="120" w:type="dxa"/>
            </w:tcMar>
          </w:tcPr>
          <w:p>
            <w:pPr>
              <w:spacing w:after="0" w:line="259" w:lineRule="auto"/>
              <w:jc w:val="left"/>
            </w:pPr>
            <w:r>
              <w:rPr>
                <w:rFonts w:ascii="Calibri" w:hAnsi="Calibri"/>
                <w:color w:val="16182D"/>
                <w:sz w:val="16"/>
              </w:rPr>
              <w:t>load</w:t>
            </w:r>
          </w:p>
        </w:tc>
        <w:tc>
          <w:tcPr>
            <w:tcW w:type="dxa" w:w="4930"/>
            <w:vAlign w:val="center"/>
            <w:tcMar>
              <w:top w:w="100" w:type="dxa"/>
              <w:start w:w="120" w:type="dxa"/>
              <w:bottom w:w="100" w:type="dxa"/>
              <w:end w:w="120" w:type="dxa"/>
            </w:tcMar>
          </w:tcPr>
          <w:p>
            <w:pPr>
              <w:spacing w:after="0" w:line="259" w:lineRule="auto"/>
              <w:jc w:val="left"/>
            </w:pPr>
            <w:r>
              <w:rPr>
                <w:rFonts w:ascii="Calibri" w:hAnsi="Calibri"/>
                <w:color w:val="16182D"/>
                <w:sz w:val="16"/>
              </w:rPr>
              <w:t>Load behavioral profile, exclusions, run scope, and current-course context when present.</w:t>
            </w:r>
          </w:p>
        </w:tc>
        <w:tc>
          <w:tcPr>
            <w:tcW w:type="dxa" w:w="2930"/>
            <w:vAlign w:val="center"/>
            <w:tcMar>
              <w:top w:w="100" w:type="dxa"/>
              <w:start w:w="120" w:type="dxa"/>
              <w:bottom w:w="100" w:type="dxa"/>
              <w:end w:w="120" w:type="dxa"/>
            </w:tcMar>
          </w:tcPr>
          <w:p>
            <w:pPr>
              <w:spacing w:after="0" w:line="259" w:lineRule="auto"/>
              <w:jc w:val="left"/>
            </w:pPr>
            <w:r>
              <w:rPr>
                <w:rFonts w:ascii="Calibri" w:hAnsi="Calibri"/>
                <w:color w:val="16182D"/>
                <w:sz w:val="16"/>
              </w:rPr>
              <w:t>profile, query, optional context_product_id</w:t>
            </w:r>
          </w:p>
        </w:tc>
      </w:tr>
      <w:tr>
        <w:tc>
          <w:tcPr>
            <w:tcW w:type="dxa" w:w="15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retrieve</w:t>
            </w:r>
          </w:p>
        </w:tc>
        <w:tc>
          <w:tcPr>
            <w:tcW w:type="dxa" w:w="493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Use overall or contextual RAG, apply deterministic eligibility and ranking, select up to three.</w:t>
            </w:r>
          </w:p>
        </w:tc>
        <w:tc>
          <w:tcPr>
            <w:tcW w:type="dxa" w:w="293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selected candidates + retrieval metrics</w:t>
            </w:r>
          </w:p>
        </w:tc>
      </w:tr>
      <w:tr>
        <w:tc>
          <w:tcPr>
            <w:tcW w:type="dxa" w:w="1500"/>
            <w:vAlign w:val="center"/>
            <w:tcMar>
              <w:top w:w="100" w:type="dxa"/>
              <w:start w:w="120" w:type="dxa"/>
              <w:bottom w:w="100" w:type="dxa"/>
              <w:end w:w="120" w:type="dxa"/>
            </w:tcMar>
          </w:tcPr>
          <w:p>
            <w:pPr>
              <w:spacing w:after="0" w:line="259" w:lineRule="auto"/>
              <w:jc w:val="left"/>
            </w:pPr>
            <w:r>
              <w:rPr>
                <w:rFonts w:ascii="Calibri" w:hAnsi="Calibri"/>
                <w:color w:val="16182D"/>
                <w:sz w:val="16"/>
              </w:rPr>
              <w:t>verify_with_mcp</w:t>
            </w:r>
          </w:p>
        </w:tc>
        <w:tc>
          <w:tcPr>
            <w:tcW w:type="dxa" w:w="4930"/>
            <w:vAlign w:val="center"/>
            <w:tcMar>
              <w:top w:w="100" w:type="dxa"/>
              <w:start w:w="120" w:type="dxa"/>
              <w:bottom w:w="100" w:type="dxa"/>
              <w:end w:w="120" w:type="dxa"/>
            </w:tcMar>
          </w:tcPr>
          <w:p>
            <w:pPr>
              <w:spacing w:after="0" w:line="259" w:lineRule="auto"/>
              <w:jc w:val="left"/>
            </w:pPr>
            <w:r>
              <w:rPr>
                <w:rFonts w:ascii="Calibri" w:hAnsi="Calibri"/>
                <w:color w:val="16182D"/>
                <w:sz w:val="16"/>
              </w:rPr>
              <w:t>Read active SQL catalog details through the governed MCP boundary and preserve exact order/IDs.</w:t>
            </w:r>
          </w:p>
        </w:tc>
        <w:tc>
          <w:tcPr>
            <w:tcW w:type="dxa" w:w="2930"/>
            <w:vAlign w:val="center"/>
            <w:tcMar>
              <w:top w:w="100" w:type="dxa"/>
              <w:start w:w="120" w:type="dxa"/>
              <w:bottom w:w="100" w:type="dxa"/>
              <w:end w:w="120" w:type="dxa"/>
            </w:tcMar>
          </w:tcPr>
          <w:p>
            <w:pPr>
              <w:spacing w:after="0" w:line="259" w:lineRule="auto"/>
              <w:jc w:val="left"/>
            </w:pPr>
            <w:r>
              <w:rPr>
                <w:rFonts w:ascii="Calibri" w:hAnsi="Calibri"/>
                <w:color w:val="16182D"/>
                <w:sz w:val="16"/>
              </w:rPr>
              <w:t>verified product IDs</w:t>
            </w:r>
          </w:p>
        </w:tc>
      </w:tr>
      <w:tr>
        <w:tc>
          <w:tcPr>
            <w:tcW w:type="dxa" w:w="15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generate</w:t>
            </w:r>
          </w:p>
        </w:tc>
        <w:tc>
          <w:tcPr>
            <w:tcW w:type="dxa" w:w="493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Call Mesh API for grounded persuasive JSON; overall can fail over across three models, contextual uses one free model.</w:t>
            </w:r>
          </w:p>
        </w:tc>
        <w:tc>
          <w:tcPr>
            <w:tcW w:type="dxa" w:w="293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headline, narrative, item reasons, usage</w:t>
            </w:r>
          </w:p>
        </w:tc>
      </w:tr>
      <w:tr>
        <w:tc>
          <w:tcPr>
            <w:tcW w:type="dxa" w:w="1500"/>
            <w:vAlign w:val="center"/>
            <w:tcMar>
              <w:top w:w="100" w:type="dxa"/>
              <w:start w:w="120" w:type="dxa"/>
              <w:bottom w:w="100" w:type="dxa"/>
              <w:end w:w="120" w:type="dxa"/>
            </w:tcMar>
          </w:tcPr>
          <w:p>
            <w:pPr>
              <w:spacing w:after="0" w:line="259" w:lineRule="auto"/>
              <w:jc w:val="left"/>
            </w:pPr>
            <w:r>
              <w:rPr>
                <w:rFonts w:ascii="Calibri" w:hAnsi="Calibri"/>
                <w:color w:val="16182D"/>
                <w:sz w:val="16"/>
              </w:rPr>
              <w:t>validate</w:t>
            </w:r>
          </w:p>
        </w:tc>
        <w:tc>
          <w:tcPr>
            <w:tcW w:type="dxa" w:w="4930"/>
            <w:vAlign w:val="center"/>
            <w:tcMar>
              <w:top w:w="100" w:type="dxa"/>
              <w:start w:w="120" w:type="dxa"/>
              <w:bottom w:w="100" w:type="dxa"/>
              <w:end w:w="120" w:type="dxa"/>
            </w:tcMar>
          </w:tcPr>
          <w:p>
            <w:pPr>
              <w:spacing w:after="0" w:line="259" w:lineRule="auto"/>
              <w:jc w:val="left"/>
            </w:pPr>
            <w:r>
              <w:rPr>
                <w:rFonts w:ascii="Calibri" w:hAnsi="Calibri"/>
                <w:color w:val="16182D"/>
                <w:sz w:val="16"/>
              </w:rPr>
              <w:t>Ensure generated IDs exactly match selected IDs with no missing, invented, or duplicate course.</w:t>
            </w:r>
          </w:p>
        </w:tc>
        <w:tc>
          <w:tcPr>
            <w:tcW w:type="dxa" w:w="2930"/>
            <w:vAlign w:val="center"/>
            <w:tcMar>
              <w:top w:w="100" w:type="dxa"/>
              <w:start w:w="120" w:type="dxa"/>
              <w:bottom w:w="100" w:type="dxa"/>
              <w:end w:w="120" w:type="dxa"/>
            </w:tcMar>
          </w:tcPr>
          <w:p>
            <w:pPr>
              <w:spacing w:after="0" w:line="259" w:lineRule="auto"/>
              <w:jc w:val="left"/>
            </w:pPr>
            <w:r>
              <w:rPr>
                <w:rFonts w:ascii="Calibri" w:hAnsi="Calibri"/>
                <w:color w:val="16182D"/>
                <w:sz w:val="16"/>
              </w:rPr>
              <w:t>validation errors or valid route</w:t>
            </w:r>
          </w:p>
        </w:tc>
      </w:tr>
      <w:tr>
        <w:tc>
          <w:tcPr>
            <w:tcW w:type="dxa" w:w="15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fallback</w:t>
            </w:r>
          </w:p>
        </w:tc>
        <w:tc>
          <w:tcPr>
            <w:tcW w:type="dxa" w:w="493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Create deterministic grounded wording if validation fails.</w:t>
            </w:r>
          </w:p>
        </w:tc>
        <w:tc>
          <w:tcPr>
            <w:tcW w:type="dxa" w:w="293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safe copy for exact selected IDs</w:t>
            </w:r>
          </w:p>
        </w:tc>
      </w:tr>
      <w:tr>
        <w:tc>
          <w:tcPr>
            <w:tcW w:type="dxa" w:w="1500"/>
            <w:vAlign w:val="center"/>
            <w:tcMar>
              <w:top w:w="100" w:type="dxa"/>
              <w:start w:w="120" w:type="dxa"/>
              <w:bottom w:w="100" w:type="dxa"/>
              <w:end w:w="120" w:type="dxa"/>
            </w:tcMar>
          </w:tcPr>
          <w:p>
            <w:pPr>
              <w:spacing w:after="0" w:line="259" w:lineRule="auto"/>
              <w:jc w:val="left"/>
            </w:pPr>
            <w:r>
              <w:rPr>
                <w:rFonts w:ascii="Calibri" w:hAnsi="Calibri"/>
                <w:color w:val="16182D"/>
                <w:sz w:val="16"/>
              </w:rPr>
              <w:t>persist</w:t>
            </w:r>
          </w:p>
        </w:tc>
        <w:tc>
          <w:tcPr>
            <w:tcW w:type="dxa" w:w="4930"/>
            <w:vAlign w:val="center"/>
            <w:tcMar>
              <w:top w:w="100" w:type="dxa"/>
              <w:start w:w="120" w:type="dxa"/>
              <w:bottom w:w="100" w:type="dxa"/>
              <w:end w:w="120" w:type="dxa"/>
            </w:tcMar>
          </w:tcPr>
          <w:p>
            <w:pPr>
              <w:spacing w:after="0" w:line="259" w:lineRule="auto"/>
              <w:jc w:val="left"/>
            </w:pPr>
            <w:r>
              <w:rPr>
                <w:rFonts w:ascii="Calibri" w:hAnsi="Calibri"/>
                <w:color w:val="16182D"/>
                <w:sz w:val="16"/>
              </w:rPr>
              <w:t>Supersede the prior active recommendation in the same scope and store recommendation/items/scores.</w:t>
            </w:r>
          </w:p>
        </w:tc>
        <w:tc>
          <w:tcPr>
            <w:tcW w:type="dxa" w:w="2930"/>
            <w:vAlign w:val="center"/>
            <w:tcMar>
              <w:top w:w="100" w:type="dxa"/>
              <w:start w:w="120" w:type="dxa"/>
              <w:bottom w:w="100" w:type="dxa"/>
              <w:end w:w="120" w:type="dxa"/>
            </w:tcMar>
          </w:tcPr>
          <w:p>
            <w:pPr>
              <w:spacing w:after="0" w:line="259" w:lineRule="auto"/>
              <w:jc w:val="left"/>
            </w:pPr>
            <w:r>
              <w:rPr>
                <w:rFonts w:ascii="Calibri" w:hAnsi="Calibri"/>
                <w:color w:val="16182D"/>
                <w:sz w:val="16"/>
              </w:rPr>
              <w:t>durable current recommendation</w:t>
            </w:r>
          </w:p>
        </w:tc>
      </w:tr>
    </w:tbl>
    <w:p>
      <w:pPr>
        <w:spacing w:after="0"/>
      </w:pPr>
    </w:p>
    <w:p>
      <w:r>
        <w:rPr>
          <w:rFonts w:ascii="Calibri" w:hAnsi="Calibri"/>
          <w:color w:val="16182D"/>
        </w:rPr>
        <w:t>LangGraph uses an InMemorySaver checkpointer keyed by recommendation run ID. Durable operational status, current node, graph-state summaries, leases, errors, tokens, and outputs are also stored in SQL. The SQL evidence survives process restarts; the in-memory LangGraph checkpoint itself does not.</w:t>
      </w:r>
    </w:p>
    <w:p>
      <w:pPr>
        <w:pStyle w:val="Heading1"/>
        <w:keepNext/>
      </w:pPr>
      <w:r>
        <w:t>9. RAG, MCP, LLM, and LangChain responsibilities</w:t>
      </w:r>
    </w:p>
    <w:tbl>
      <w:tblPr>
        <w:tblStyle w:val="TableGrid"/>
        <w:tblW w:type="dxa" w:w="9360"/>
        <w:jc w:val="left"/>
        <w:tblLayout w:type="fixed"/>
        <w:tblLook w:firstColumn="1" w:firstRow="1" w:lastColumn="0" w:lastRow="0" w:noHBand="0" w:noVBand="1" w:val="04A0"/>
        <w:tblInd w:w="120" w:type="dxa"/>
      </w:tblPr>
      <w:tblGrid>
        <w:gridCol w:w="1500"/>
        <w:gridCol w:w="4480"/>
        <w:gridCol w:w="3380"/>
      </w:tblGrid>
      <w:tr>
        <w:trPr>
          <w:tblHeader w:val="true"/>
        </w:trPr>
        <w:tc>
          <w:tcPr>
            <w:tcW w:type="dxa" w:w="1500"/>
            <w:shd w:fill="5445D6"/>
            <w:vAlign w:val="center"/>
            <w:tcMar>
              <w:top w:w="100" w:type="dxa"/>
              <w:start w:w="120" w:type="dxa"/>
              <w:bottom w:w="100" w:type="dxa"/>
              <w:end w:w="120" w:type="dxa"/>
            </w:tcMar>
          </w:tcPr>
          <w:p>
            <w:pPr>
              <w:spacing w:after="0"/>
              <w:jc w:val="left"/>
            </w:pPr>
            <w:r>
              <w:rPr>
                <w:rFonts w:ascii="Calibri" w:hAnsi="Calibri"/>
                <w:b/>
                <w:color w:val="FFFFFF"/>
                <w:sz w:val="17"/>
              </w:rPr>
              <w:t>Component</w:t>
            </w:r>
          </w:p>
        </w:tc>
        <w:tc>
          <w:tcPr>
            <w:tcW w:type="dxa" w:w="4480"/>
            <w:shd w:fill="5445D6"/>
            <w:vAlign w:val="center"/>
            <w:tcMar>
              <w:top w:w="100" w:type="dxa"/>
              <w:start w:w="120" w:type="dxa"/>
              <w:bottom w:w="100" w:type="dxa"/>
              <w:end w:w="120" w:type="dxa"/>
            </w:tcMar>
          </w:tcPr>
          <w:p>
            <w:pPr>
              <w:spacing w:after="0"/>
              <w:jc w:val="center"/>
            </w:pPr>
            <w:r>
              <w:rPr>
                <w:rFonts w:ascii="Calibri" w:hAnsi="Calibri"/>
                <w:b/>
                <w:color w:val="FFFFFF"/>
                <w:sz w:val="17"/>
              </w:rPr>
              <w:t>What it does</w:t>
            </w:r>
          </w:p>
        </w:tc>
        <w:tc>
          <w:tcPr>
            <w:tcW w:type="dxa" w:w="3380"/>
            <w:shd w:fill="5445D6"/>
            <w:vAlign w:val="center"/>
            <w:tcMar>
              <w:top w:w="100" w:type="dxa"/>
              <w:start w:w="120" w:type="dxa"/>
              <w:bottom w:w="100" w:type="dxa"/>
              <w:end w:w="120" w:type="dxa"/>
            </w:tcMar>
          </w:tcPr>
          <w:p>
            <w:pPr>
              <w:spacing w:after="0"/>
              <w:jc w:val="center"/>
            </w:pPr>
            <w:r>
              <w:rPr>
                <w:rFonts w:ascii="Calibri" w:hAnsi="Calibri"/>
                <w:b/>
                <w:color w:val="FFFFFF"/>
                <w:sz w:val="17"/>
              </w:rPr>
              <w:t>What it must not do</w:t>
            </w:r>
          </w:p>
        </w:tc>
      </w:tr>
      <w:tr>
        <w:tc>
          <w:tcPr>
            <w:tcW w:type="dxa" w:w="1500"/>
            <w:vAlign w:val="center"/>
            <w:tcMar>
              <w:top w:w="100" w:type="dxa"/>
              <w:start w:w="120" w:type="dxa"/>
              <w:bottom w:w="100" w:type="dxa"/>
              <w:end w:w="120" w:type="dxa"/>
            </w:tcMar>
          </w:tcPr>
          <w:p>
            <w:pPr>
              <w:spacing w:after="0" w:line="259" w:lineRule="auto"/>
              <w:jc w:val="left"/>
            </w:pPr>
            <w:r>
              <w:rPr>
                <w:rFonts w:ascii="Calibri" w:hAnsi="Calibri"/>
                <w:color w:val="16182D"/>
                <w:sz w:val="15"/>
              </w:rPr>
              <w:t>RAG / Qdrant</w:t>
            </w:r>
          </w:p>
        </w:tc>
        <w:tc>
          <w:tcPr>
            <w:tcW w:type="dxa" w:w="4480"/>
            <w:vAlign w:val="center"/>
            <w:tcMar>
              <w:top w:w="100" w:type="dxa"/>
              <w:start w:w="120" w:type="dxa"/>
              <w:bottom w:w="100" w:type="dxa"/>
              <w:end w:w="120" w:type="dxa"/>
            </w:tcMar>
          </w:tcPr>
          <w:p>
            <w:pPr>
              <w:spacing w:after="0" w:line="259" w:lineRule="auto"/>
              <w:jc w:val="left"/>
            </w:pPr>
            <w:r>
              <w:rPr>
                <w:rFonts w:ascii="Calibri" w:hAnsi="Calibri"/>
                <w:color w:val="16182D"/>
                <w:sz w:val="15"/>
              </w:rPr>
              <w:t>Retrieve semantically similar catalog IDs; support overall and current-course queries.</w:t>
            </w:r>
          </w:p>
        </w:tc>
        <w:tc>
          <w:tcPr>
            <w:tcW w:type="dxa" w:w="3380"/>
            <w:vAlign w:val="center"/>
            <w:tcMar>
              <w:top w:w="100" w:type="dxa"/>
              <w:start w:w="120" w:type="dxa"/>
              <w:bottom w:w="100" w:type="dxa"/>
              <w:end w:w="120" w:type="dxa"/>
            </w:tcMar>
          </w:tcPr>
          <w:p>
            <w:pPr>
              <w:spacing w:after="0" w:line="259" w:lineRule="auto"/>
              <w:jc w:val="left"/>
            </w:pPr>
            <w:r>
              <w:rPr>
                <w:rFonts w:ascii="Calibri" w:hAnsi="Calibri"/>
                <w:color w:val="16182D"/>
                <w:sz w:val="15"/>
              </w:rPr>
              <w:t>Return invented courses or bypass active SQL state.</w:t>
            </w:r>
          </w:p>
        </w:tc>
      </w:tr>
      <w:tr>
        <w:tc>
          <w:tcPr>
            <w:tcW w:type="dxa" w:w="15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Deterministic ranker</w:t>
            </w:r>
          </w:p>
        </w:tc>
        <w:tc>
          <w:tcPr>
            <w:tcW w:type="dxa" w:w="448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Apply behavior, search, path, skill, quality, exclusion, and diversification rules.</w:t>
            </w:r>
          </w:p>
        </w:tc>
        <w:tc>
          <w:tcPr>
            <w:tcW w:type="dxa" w:w="338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Delegate product selection to persuasive generation.</w:t>
            </w:r>
          </w:p>
        </w:tc>
      </w:tr>
      <w:tr>
        <w:tc>
          <w:tcPr>
            <w:tcW w:type="dxa" w:w="1500"/>
            <w:vAlign w:val="center"/>
            <w:tcMar>
              <w:top w:w="100" w:type="dxa"/>
              <w:start w:w="120" w:type="dxa"/>
              <w:bottom w:w="100" w:type="dxa"/>
              <w:end w:w="120" w:type="dxa"/>
            </w:tcMar>
          </w:tcPr>
          <w:p>
            <w:pPr>
              <w:spacing w:after="0" w:line="259" w:lineRule="auto"/>
              <w:jc w:val="left"/>
            </w:pPr>
            <w:r>
              <w:rPr>
                <w:rFonts w:ascii="Calibri" w:hAnsi="Calibri"/>
                <w:color w:val="16182D"/>
                <w:sz w:val="15"/>
              </w:rPr>
              <w:t>MCP</w:t>
            </w:r>
          </w:p>
        </w:tc>
        <w:tc>
          <w:tcPr>
            <w:tcW w:type="dxa" w:w="4480"/>
            <w:vAlign w:val="center"/>
            <w:tcMar>
              <w:top w:w="100" w:type="dxa"/>
              <w:start w:w="120" w:type="dxa"/>
              <w:bottom w:w="100" w:type="dxa"/>
              <w:end w:w="120" w:type="dxa"/>
            </w:tcMar>
          </w:tcPr>
          <w:p>
            <w:pPr>
              <w:spacing w:after="0" w:line="259" w:lineRule="auto"/>
              <w:jc w:val="left"/>
            </w:pPr>
            <w:r>
              <w:rPr>
                <w:rFonts w:ascii="Calibri" w:hAnsi="Calibri"/>
                <w:color w:val="16182D"/>
                <w:sz w:val="15"/>
              </w:rPr>
              <w:t>Expose read-only profile/signal/catalog tools and verify final product IDs against active SQL rows.</w:t>
            </w:r>
          </w:p>
        </w:tc>
        <w:tc>
          <w:tcPr>
            <w:tcW w:type="dxa" w:w="3380"/>
            <w:vAlign w:val="center"/>
            <w:tcMar>
              <w:top w:w="100" w:type="dxa"/>
              <w:start w:w="120" w:type="dxa"/>
              <w:bottom w:w="100" w:type="dxa"/>
              <w:end w:w="120" w:type="dxa"/>
            </w:tcMar>
          </w:tcPr>
          <w:p>
            <w:pPr>
              <w:spacing w:after="0" w:line="259" w:lineRule="auto"/>
              <w:jc w:val="left"/>
            </w:pPr>
            <w:r>
              <w:rPr>
                <w:rFonts w:ascii="Calibri" w:hAnsi="Calibri"/>
                <w:color w:val="16182D"/>
                <w:sz w:val="15"/>
              </w:rPr>
              <w:t>Write recommendations, modify users, or replace the graph.</w:t>
            </w:r>
          </w:p>
        </w:tc>
      </w:tr>
      <w:tr>
        <w:tc>
          <w:tcPr>
            <w:tcW w:type="dxa" w:w="15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Mesh LLM</w:t>
            </w:r>
          </w:p>
        </w:tc>
        <w:tc>
          <w:tcPr>
            <w:tcW w:type="dxa" w:w="448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Write the headline, narrative, and course-specific reasons for already-ranked products.</w:t>
            </w:r>
          </w:p>
        </w:tc>
        <w:tc>
          <w:tcPr>
            <w:tcW w:type="dxa" w:w="338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Invent IDs, prices, discounts, outcomes, sensitive traits, or choose unrelated products.</w:t>
            </w:r>
          </w:p>
        </w:tc>
      </w:tr>
      <w:tr>
        <w:tc>
          <w:tcPr>
            <w:tcW w:type="dxa" w:w="1500"/>
            <w:vAlign w:val="center"/>
            <w:tcMar>
              <w:top w:w="100" w:type="dxa"/>
              <w:start w:w="120" w:type="dxa"/>
              <w:bottom w:w="100" w:type="dxa"/>
              <w:end w:w="120" w:type="dxa"/>
            </w:tcMar>
          </w:tcPr>
          <w:p>
            <w:pPr>
              <w:spacing w:after="0" w:line="259" w:lineRule="auto"/>
              <w:jc w:val="left"/>
            </w:pPr>
            <w:r>
              <w:rPr>
                <w:rFonts w:ascii="Calibri" w:hAnsi="Calibri"/>
                <w:color w:val="16182D"/>
                <w:sz w:val="15"/>
              </w:rPr>
              <w:t>LangGraph</w:t>
            </w:r>
          </w:p>
        </w:tc>
        <w:tc>
          <w:tcPr>
            <w:tcW w:type="dxa" w:w="4480"/>
            <w:vAlign w:val="center"/>
            <w:tcMar>
              <w:top w:w="100" w:type="dxa"/>
              <w:start w:w="120" w:type="dxa"/>
              <w:bottom w:w="100" w:type="dxa"/>
              <w:end w:w="120" w:type="dxa"/>
            </w:tcMar>
          </w:tcPr>
          <w:p>
            <w:pPr>
              <w:spacing w:after="0" w:line="259" w:lineRule="auto"/>
              <w:jc w:val="left"/>
            </w:pPr>
            <w:r>
              <w:rPr>
                <w:rFonts w:ascii="Calibri" w:hAnsi="Calibri"/>
                <w:color w:val="16182D"/>
                <w:sz w:val="15"/>
              </w:rPr>
              <w:t>Make the workflow explicit, conditional, observable, lease-aware, recoverable, and persistable.</w:t>
            </w:r>
          </w:p>
        </w:tc>
        <w:tc>
          <w:tcPr>
            <w:tcW w:type="dxa" w:w="3380"/>
            <w:vAlign w:val="center"/>
            <w:tcMar>
              <w:top w:w="100" w:type="dxa"/>
              <w:start w:w="120" w:type="dxa"/>
              <w:bottom w:w="100" w:type="dxa"/>
              <w:end w:w="120" w:type="dxa"/>
            </w:tcMar>
          </w:tcPr>
          <w:p>
            <w:pPr>
              <w:spacing w:after="0" w:line="259" w:lineRule="auto"/>
              <w:jc w:val="left"/>
            </w:pPr>
            <w:r>
              <w:rPr>
                <w:rFonts w:ascii="Calibri" w:hAnsi="Calibri"/>
                <w:color w:val="16182D"/>
                <w:sz w:val="15"/>
              </w:rPr>
              <w:t>Act as the model or vector database.</w:t>
            </w:r>
          </w:p>
        </w:tc>
      </w:tr>
      <w:tr>
        <w:tc>
          <w:tcPr>
            <w:tcW w:type="dxa" w:w="15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LangSmith</w:t>
            </w:r>
          </w:p>
        </w:tc>
        <w:tc>
          <w:tcPr>
            <w:tcW w:type="dxa" w:w="448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Trace graph, retriever, tool, and individual provider-attempt spans when configured.</w:t>
            </w:r>
          </w:p>
        </w:tc>
        <w:tc>
          <w:tcPr>
            <w:tcW w:type="dxa" w:w="338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5"/>
              </w:rPr>
              <w:t>Replace the durable local telemetry ledger or recommendation database.</w:t>
            </w:r>
          </w:p>
        </w:tc>
      </w:tr>
      <w:tr>
        <w:tc>
          <w:tcPr>
            <w:tcW w:type="dxa" w:w="1500"/>
            <w:vAlign w:val="center"/>
            <w:tcMar>
              <w:top w:w="100" w:type="dxa"/>
              <w:start w:w="120" w:type="dxa"/>
              <w:bottom w:w="100" w:type="dxa"/>
              <w:end w:w="120" w:type="dxa"/>
            </w:tcMar>
          </w:tcPr>
          <w:p>
            <w:pPr>
              <w:spacing w:after="0" w:line="259" w:lineRule="auto"/>
              <w:jc w:val="left"/>
            </w:pPr>
            <w:r>
              <w:rPr>
                <w:rFonts w:ascii="Calibri" w:hAnsi="Calibri"/>
                <w:color w:val="16182D"/>
                <w:sz w:val="15"/>
              </w:rPr>
              <w:t>LangChain</w:t>
            </w:r>
          </w:p>
        </w:tc>
        <w:tc>
          <w:tcPr>
            <w:tcW w:type="dxa" w:w="4480"/>
            <w:vAlign w:val="center"/>
            <w:tcMar>
              <w:top w:w="100" w:type="dxa"/>
              <w:start w:w="120" w:type="dxa"/>
              <w:bottom w:w="100" w:type="dxa"/>
              <w:end w:w="120" w:type="dxa"/>
            </w:tcMar>
          </w:tcPr>
          <w:p>
            <w:pPr>
              <w:spacing w:after="0" w:line="259" w:lineRule="auto"/>
              <w:jc w:val="left"/>
            </w:pPr>
            <w:r>
              <w:rPr>
                <w:rFonts w:ascii="Calibri" w:hAnsi="Calibri"/>
                <w:color w:val="16182D"/>
                <w:sz w:val="15"/>
              </w:rPr>
              <w:t>Used indirectly through LangGraph/LangSmith ecosystem primitives and OpenAI-compatible model integration; no separate LangChain agent chooses products.</w:t>
            </w:r>
          </w:p>
        </w:tc>
        <w:tc>
          <w:tcPr>
            <w:tcW w:type="dxa" w:w="3380"/>
            <w:vAlign w:val="center"/>
            <w:tcMar>
              <w:top w:w="100" w:type="dxa"/>
              <w:start w:w="120" w:type="dxa"/>
              <w:bottom w:w="100" w:type="dxa"/>
              <w:end w:w="120" w:type="dxa"/>
            </w:tcMar>
          </w:tcPr>
          <w:p>
            <w:pPr>
              <w:spacing w:after="0" w:line="259" w:lineRule="auto"/>
              <w:jc w:val="left"/>
            </w:pPr>
            <w:r>
              <w:rPr>
                <w:rFonts w:ascii="Calibri" w:hAnsi="Calibri"/>
                <w:color w:val="16182D"/>
                <w:sz w:val="15"/>
              </w:rPr>
              <w:t>Obscure deterministic business rules behind an unconstrained agent.</w:t>
            </w:r>
          </w:p>
        </w:tc>
      </w:tr>
    </w:tbl>
    <w:p>
      <w:pPr>
        <w:spacing w:after="0"/>
      </w:pPr>
    </w:p>
    <w:p>
      <w:pPr>
        <w:pStyle w:val="Heading2"/>
        <w:keepNext/>
      </w:pPr>
      <w:r>
        <w:t>9.1 Where the LLM is important</w:t>
      </w:r>
    </w:p>
    <w:p>
      <w:r>
        <w:rPr>
          <w:rFonts w:ascii="Calibri" w:hAnsi="Calibri"/>
          <w:color w:val="16182D"/>
        </w:rPr>
        <w:t>The LLM is important for communication, not catalog truth. It turns structured evidence and verified candidates into a coherent, human-facing story. For a course detail page, it must explicitly connect what the current course teaches, what the candidate adds, and how that combination helps the learner understand or build more.</w:t>
      </w:r>
    </w:p>
    <w:p>
      <w:pPr>
        <w:pStyle w:val="ListBullet"/>
        <w:spacing w:after="80" w:line="300" w:lineRule="auto"/>
        <w:ind w:left="540" w:hanging="271"/>
      </w:pPr>
      <w:r>
        <w:rPr>
          <w:rFonts w:ascii="Calibri" w:hAnsi="Calibri"/>
          <w:color w:val="16182D"/>
        </w:rPr>
        <w:t>Input: primary and secondary interests, up to five recent searches, journey stage, optional current-course record, and exact verified candidate records with fit scores.</w:t>
      </w:r>
    </w:p>
    <w:p>
      <w:pPr>
        <w:pStyle w:val="ListBullet"/>
        <w:spacing w:after="80" w:line="300" w:lineRule="auto"/>
        <w:ind w:left="540" w:hanging="271"/>
      </w:pPr>
      <w:r>
        <w:rPr>
          <w:rFonts w:ascii="Calibri" w:hAnsi="Calibri"/>
          <w:color w:val="16182D"/>
        </w:rPr>
        <w:t>Output: JSON containing one concise headline, two or three warm narrative sentences, and one reason per exact product ID.</w:t>
      </w:r>
    </w:p>
    <w:p>
      <w:pPr>
        <w:pStyle w:val="ListBullet"/>
        <w:spacing w:after="80" w:line="300" w:lineRule="auto"/>
        <w:ind w:left="540" w:hanging="271"/>
      </w:pPr>
      <w:r>
        <w:rPr>
          <w:rFonts w:ascii="Calibri" w:hAnsi="Calibri"/>
          <w:color w:val="16182D"/>
        </w:rPr>
        <w:t>Temperature: 0 for repeatability. Contextual maximum output: 700 tokens. Overall maximum output: 4,000 tokens.</w:t>
      </w:r>
    </w:p>
    <w:p>
      <w:pPr>
        <w:pStyle w:val="ListBullet"/>
        <w:spacing w:after="80" w:line="300" w:lineRule="auto"/>
        <w:ind w:left="540" w:hanging="271"/>
      </w:pPr>
      <w:r>
        <w:rPr>
          <w:rFonts w:ascii="Calibri" w:hAnsi="Calibri"/>
          <w:color w:val="16182D"/>
        </w:rPr>
        <w:t>Current contextual model: minimax/m2-her through Mesh API, one attempt per page visit.</w:t>
      </w:r>
    </w:p>
    <w:p>
      <w:pPr>
        <w:pStyle w:val="ListBullet"/>
        <w:spacing w:after="80" w:line="300" w:lineRule="auto"/>
        <w:ind w:left="540" w:hanging="271"/>
      </w:pPr>
      <w:r>
        <w:rPr>
          <w:rFonts w:ascii="Calibri" w:hAnsi="Calibri"/>
          <w:color w:val="16182D"/>
        </w:rPr>
        <w:t>Current overall chain: minimax/m2-her -&gt; tencent/hy3 -&gt; openai/gpt-4o-mini, stopping after success or a non-recoverable gateway/authentication failure.</w:t>
      </w:r>
    </w:p>
    <w:p>
      <w:pPr>
        <w:pStyle w:val="ListBullet"/>
        <w:spacing w:after="80" w:line="300" w:lineRule="auto"/>
        <w:ind w:left="540" w:hanging="271"/>
      </w:pPr>
      <w:r>
        <w:rPr>
          <w:rFonts w:ascii="Calibri" w:hAnsi="Calibri"/>
          <w:color w:val="16182D"/>
        </w:rPr>
        <w:t>If all eligible provider attempts fail, deterministic provider fallback preserves grounded functionality.</w:t>
      </w:r>
    </w:p>
    <w:p>
      <w:pPr>
        <w:pStyle w:val="Heading1"/>
        <w:keepNext/>
      </w:pPr>
      <w:r>
        <w:t>10. Worked example A - changing interests over four days</w:t>
      </w:r>
    </w:p>
    <w:p>
      <w:r>
        <w:rPr>
          <w:rFonts w:ascii="Calibri" w:hAnsi="Calibri"/>
          <w:color w:val="16182D"/>
        </w:rPr>
        <w:t>Scenario: during days 1-2 the learner searches for Machine Learning and Agentic AI. During days 3-4 the learner searches Web Technologies and performs a smaller amount of Java exploration.</w:t>
      </w:r>
    </w:p>
    <w:tbl>
      <w:tblPr>
        <w:tblStyle w:val="TableGrid"/>
        <w:tblW w:type="dxa" w:w="9360"/>
        <w:jc w:val="left"/>
        <w:tblLayout w:type="fixed"/>
        <w:tblLook w:firstColumn="1" w:firstRow="1" w:lastColumn="0" w:lastRow="0" w:noHBand="0" w:noVBand="1" w:val="04A0"/>
        <w:tblInd w:w="120" w:type="dxa"/>
      </w:tblPr>
      <w:tblGrid>
        <w:gridCol w:w="1200"/>
        <w:gridCol w:w="3300"/>
        <w:gridCol w:w="2150"/>
        <w:gridCol w:w="2710"/>
      </w:tblGrid>
      <w:tr>
        <w:trPr>
          <w:tblHeader w:val="true"/>
        </w:trPr>
        <w:tc>
          <w:tcPr>
            <w:tcW w:type="dxa" w:w="1200"/>
            <w:shd w:fill="5445D6"/>
            <w:vAlign w:val="center"/>
            <w:tcMar>
              <w:top w:w="100" w:type="dxa"/>
              <w:start w:w="120" w:type="dxa"/>
              <w:bottom w:w="100" w:type="dxa"/>
              <w:end w:w="120" w:type="dxa"/>
            </w:tcMar>
          </w:tcPr>
          <w:p>
            <w:pPr>
              <w:spacing w:after="0"/>
              <w:jc w:val="left"/>
            </w:pPr>
            <w:r>
              <w:rPr>
                <w:rFonts w:ascii="Calibri" w:hAnsi="Calibri"/>
                <w:b/>
                <w:color w:val="FFFFFF"/>
                <w:sz w:val="17"/>
              </w:rPr>
              <w:t>Time</w:t>
            </w:r>
          </w:p>
        </w:tc>
        <w:tc>
          <w:tcPr>
            <w:tcW w:type="dxa" w:w="3300"/>
            <w:shd w:fill="5445D6"/>
            <w:vAlign w:val="center"/>
            <w:tcMar>
              <w:top w:w="100" w:type="dxa"/>
              <w:start w:w="120" w:type="dxa"/>
              <w:bottom w:w="100" w:type="dxa"/>
              <w:end w:w="120" w:type="dxa"/>
            </w:tcMar>
          </w:tcPr>
          <w:p>
            <w:pPr>
              <w:spacing w:after="0"/>
              <w:jc w:val="center"/>
            </w:pPr>
            <w:r>
              <w:rPr>
                <w:rFonts w:ascii="Calibri" w:hAnsi="Calibri"/>
                <w:b/>
                <w:color w:val="FFFFFF"/>
                <w:sz w:val="17"/>
              </w:rPr>
              <w:t>Illustrative behavior</w:t>
            </w:r>
          </w:p>
        </w:tc>
        <w:tc>
          <w:tcPr>
            <w:tcW w:type="dxa" w:w="2150"/>
            <w:shd w:fill="5445D6"/>
            <w:vAlign w:val="center"/>
            <w:tcMar>
              <w:top w:w="100" w:type="dxa"/>
              <w:start w:w="120" w:type="dxa"/>
              <w:bottom w:w="100" w:type="dxa"/>
              <w:end w:w="120" w:type="dxa"/>
            </w:tcMar>
          </w:tcPr>
          <w:p>
            <w:pPr>
              <w:spacing w:after="0"/>
              <w:jc w:val="center"/>
            </w:pPr>
            <w:r>
              <w:rPr>
                <w:rFonts w:ascii="Calibri" w:hAnsi="Calibri"/>
                <w:b/>
                <w:color w:val="FFFFFF"/>
                <w:sz w:val="17"/>
              </w:rPr>
              <w:t>Trigger effect</w:t>
            </w:r>
          </w:p>
        </w:tc>
        <w:tc>
          <w:tcPr>
            <w:tcW w:type="dxa" w:w="2710"/>
            <w:shd w:fill="5445D6"/>
            <w:vAlign w:val="center"/>
            <w:tcMar>
              <w:top w:w="100" w:type="dxa"/>
              <w:start w:w="120" w:type="dxa"/>
              <w:bottom w:w="100" w:type="dxa"/>
              <w:end w:w="120" w:type="dxa"/>
            </w:tcMar>
          </w:tcPr>
          <w:p>
            <w:pPr>
              <w:spacing w:after="0"/>
              <w:jc w:val="center"/>
            </w:pPr>
            <w:r>
              <w:rPr>
                <w:rFonts w:ascii="Calibri" w:hAnsi="Calibri"/>
                <w:b/>
                <w:color w:val="FFFFFF"/>
                <w:sz w:val="17"/>
              </w:rPr>
              <w:t>Profile effect</w:t>
            </w:r>
          </w:p>
        </w:tc>
      </w:tr>
      <w:tr>
        <w:tc>
          <w:tcPr>
            <w:tcW w:type="dxa" w:w="1200"/>
            <w:vAlign w:val="center"/>
            <w:tcMar>
              <w:top w:w="100" w:type="dxa"/>
              <w:start w:w="120" w:type="dxa"/>
              <w:bottom w:w="100" w:type="dxa"/>
              <w:end w:w="120" w:type="dxa"/>
            </w:tcMar>
          </w:tcPr>
          <w:p>
            <w:pPr>
              <w:spacing w:after="0" w:line="259" w:lineRule="auto"/>
              <w:jc w:val="left"/>
            </w:pPr>
            <w:r>
              <w:rPr>
                <w:rFonts w:ascii="Calibri" w:hAnsi="Calibri"/>
                <w:color w:val="16182D"/>
                <w:sz w:val="16"/>
              </w:rPr>
              <w:t>Day 1</w:t>
            </w:r>
          </w:p>
        </w:tc>
        <w:tc>
          <w:tcPr>
            <w:tcW w:type="dxa" w:w="3300"/>
            <w:vAlign w:val="center"/>
            <w:tcMar>
              <w:top w:w="100" w:type="dxa"/>
              <w:start w:w="120" w:type="dxa"/>
              <w:bottom w:w="100" w:type="dxa"/>
              <w:end w:w="120" w:type="dxa"/>
            </w:tcMar>
          </w:tcPr>
          <w:p>
            <w:pPr>
              <w:spacing w:after="0" w:line="259" w:lineRule="auto"/>
              <w:jc w:val="left"/>
            </w:pPr>
            <w:r>
              <w:rPr>
                <w:rFonts w:ascii="Calibri" w:hAnsi="Calibri"/>
                <w:color w:val="16182D"/>
                <w:sz w:val="16"/>
              </w:rPr>
              <w:t>Search ML (6) + view ML course (3)</w:t>
            </w:r>
          </w:p>
        </w:tc>
        <w:tc>
          <w:tcPr>
            <w:tcW w:type="dxa" w:w="2150"/>
            <w:vAlign w:val="center"/>
            <w:tcMar>
              <w:top w:w="100" w:type="dxa"/>
              <w:start w:w="120" w:type="dxa"/>
              <w:bottom w:w="100" w:type="dxa"/>
              <w:end w:w="120" w:type="dxa"/>
            </w:tcMar>
          </w:tcPr>
          <w:p>
            <w:pPr>
              <w:spacing w:after="0" w:line="259" w:lineRule="auto"/>
              <w:jc w:val="left"/>
            </w:pPr>
            <w:r>
              <w:rPr>
                <w:rFonts w:ascii="Calibri" w:hAnsi="Calibri"/>
                <w:color w:val="16182D"/>
                <w:sz w:val="16"/>
              </w:rPr>
              <w:t>9 points; first overall run</w:t>
            </w:r>
          </w:p>
        </w:tc>
        <w:tc>
          <w:tcPr>
            <w:tcW w:type="dxa" w:w="2710"/>
            <w:vAlign w:val="center"/>
            <w:tcMar>
              <w:top w:w="100" w:type="dxa"/>
              <w:start w:w="120" w:type="dxa"/>
              <w:bottom w:w="100" w:type="dxa"/>
              <w:end w:w="120" w:type="dxa"/>
            </w:tcMar>
          </w:tcPr>
          <w:p>
            <w:pPr>
              <w:spacing w:after="0" w:line="259" w:lineRule="auto"/>
              <w:jc w:val="left"/>
            </w:pPr>
            <w:r>
              <w:rPr>
                <w:rFonts w:ascii="Calibri" w:hAnsi="Calibri"/>
                <w:color w:val="16182D"/>
                <w:sz w:val="16"/>
              </w:rPr>
              <w:t>ML becomes primary</w:t>
            </w:r>
          </w:p>
        </w:tc>
      </w:tr>
      <w:tr>
        <w:tc>
          <w:tcPr>
            <w:tcW w:type="dxa" w:w="12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Day 2</w:t>
            </w:r>
          </w:p>
        </w:tc>
        <w:tc>
          <w:tcPr>
            <w:tcW w:type="dxa" w:w="33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Search Agentic AI (6) + click course (5)</w:t>
            </w:r>
          </w:p>
        </w:tc>
        <w:tc>
          <w:tcPr>
            <w:tcW w:type="dxa" w:w="215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11 new points; refresh after cooldown</w:t>
            </w:r>
          </w:p>
        </w:tc>
        <w:tc>
          <w:tcPr>
            <w:tcW w:type="dxa" w:w="271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Agentic AI competes with ML</w:t>
            </w:r>
          </w:p>
        </w:tc>
      </w:tr>
      <w:tr>
        <w:tc>
          <w:tcPr>
            <w:tcW w:type="dxa" w:w="1200"/>
            <w:vAlign w:val="center"/>
            <w:tcMar>
              <w:top w:w="100" w:type="dxa"/>
              <w:start w:w="120" w:type="dxa"/>
              <w:bottom w:w="100" w:type="dxa"/>
              <w:end w:w="120" w:type="dxa"/>
            </w:tcMar>
          </w:tcPr>
          <w:p>
            <w:pPr>
              <w:spacing w:after="0" w:line="259" w:lineRule="auto"/>
              <w:jc w:val="left"/>
            </w:pPr>
            <w:r>
              <w:rPr>
                <w:rFonts w:ascii="Calibri" w:hAnsi="Calibri"/>
                <w:color w:val="16182D"/>
                <w:sz w:val="16"/>
              </w:rPr>
              <w:t>Day 3</w:t>
            </w:r>
          </w:p>
        </w:tc>
        <w:tc>
          <w:tcPr>
            <w:tcW w:type="dxa" w:w="3300"/>
            <w:vAlign w:val="center"/>
            <w:tcMar>
              <w:top w:w="100" w:type="dxa"/>
              <w:start w:w="120" w:type="dxa"/>
              <w:bottom w:w="100" w:type="dxa"/>
              <w:end w:w="120" w:type="dxa"/>
            </w:tcMar>
          </w:tcPr>
          <w:p>
            <w:pPr>
              <w:spacing w:after="0" w:line="259" w:lineRule="auto"/>
              <w:jc w:val="left"/>
            </w:pPr>
            <w:r>
              <w:rPr>
                <w:rFonts w:ascii="Calibri" w:hAnsi="Calibri"/>
                <w:color w:val="16182D"/>
                <w:sz w:val="16"/>
              </w:rPr>
              <w:t>Search Web Technologies (6) + view course (3)</w:t>
            </w:r>
          </w:p>
        </w:tc>
        <w:tc>
          <w:tcPr>
            <w:tcW w:type="dxa" w:w="2150"/>
            <w:vAlign w:val="center"/>
            <w:tcMar>
              <w:top w:w="100" w:type="dxa"/>
              <w:start w:w="120" w:type="dxa"/>
              <w:bottom w:w="100" w:type="dxa"/>
              <w:end w:w="120" w:type="dxa"/>
            </w:tcMar>
          </w:tcPr>
          <w:p>
            <w:pPr>
              <w:spacing w:after="0" w:line="259" w:lineRule="auto"/>
              <w:jc w:val="left"/>
            </w:pPr>
            <w:r>
              <w:rPr>
                <w:rFonts w:ascii="Calibri" w:hAnsi="Calibri"/>
                <w:color w:val="16182D"/>
                <w:sz w:val="16"/>
              </w:rPr>
              <w:t>9 new points; another refresh</w:t>
            </w:r>
          </w:p>
        </w:tc>
        <w:tc>
          <w:tcPr>
            <w:tcW w:type="dxa" w:w="2710"/>
            <w:vAlign w:val="center"/>
            <w:tcMar>
              <w:top w:w="100" w:type="dxa"/>
              <w:start w:w="120" w:type="dxa"/>
              <w:bottom w:w="100" w:type="dxa"/>
              <w:end w:w="120" w:type="dxa"/>
            </w:tcMar>
          </w:tcPr>
          <w:p>
            <w:pPr>
              <w:spacing w:after="0" w:line="259" w:lineRule="auto"/>
              <w:jc w:val="left"/>
            </w:pPr>
            <w:r>
              <w:rPr>
                <w:rFonts w:ascii="Calibri" w:hAnsi="Calibri"/>
                <w:color w:val="16182D"/>
                <w:sz w:val="16"/>
              </w:rPr>
              <w:t>Recent Web evidence has about 79-100% weight</w:t>
            </w:r>
          </w:p>
        </w:tc>
      </w:tr>
      <w:tr>
        <w:tc>
          <w:tcPr>
            <w:tcW w:type="dxa" w:w="12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Day 4</w:t>
            </w:r>
          </w:p>
        </w:tc>
        <w:tc>
          <w:tcPr>
            <w:tcW w:type="dxa" w:w="33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View/click Web (3/5) + one Java view (3)</w:t>
            </w:r>
          </w:p>
        </w:tc>
        <w:tc>
          <w:tcPr>
            <w:tcW w:type="dxa" w:w="215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Threshold can be crossed again</w:t>
            </w:r>
          </w:p>
        </w:tc>
        <w:tc>
          <w:tcPr>
            <w:tcW w:type="dxa" w:w="271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Web likely becomes primary; Java may be secondary</w:t>
            </w:r>
          </w:p>
        </w:tc>
      </w:tr>
    </w:tbl>
    <w:p>
      <w:pPr>
        <w:spacing w:after="0"/>
      </w:pPr>
    </w:p>
    <w:p>
      <w:r>
        <w:rPr>
          <w:rFonts w:ascii="Calibri" w:hAnsi="Calibri"/>
          <w:color w:val="16182D"/>
        </w:rPr>
        <w:t>Because AI evidence from days 1-2 still retains roughly 50-63% of its original recency weight by day 4, the current implementation may keep AI as a secondary interest. The ranker should prioritize Web when the newer weighted evidence overtakes AI, but the system does not yet explicitly label the pattern as an intent shift.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EF3FF"/>
            <w:tcMar>
              <w:top w:w="100" w:type="dxa"/>
              <w:start w:w="120" w:type="dxa"/>
              <w:bottom w:w="100" w:type="dxa"/>
              <w:end w:w="120" w:type="dxa"/>
            </w:tcMar>
            <w:vAlign w:val="center"/>
          </w:tcPr>
          <w:p>
            <w:pPr>
              <w:spacing w:after="60"/>
            </w:pPr>
            <w:r>
              <w:rPr>
                <w:rFonts w:ascii="Calibri" w:hAnsi="Calibri"/>
                <w:b/>
                <w:color w:val="3F61E8"/>
                <w:sz w:val="17"/>
              </w:rPr>
              <w:t>HOW THE LLM INTERPRETS IT TODAY</w:t>
            </w:r>
          </w:p>
          <w:p>
            <w:pPr>
              <w:spacing w:after="0" w:line="276" w:lineRule="auto"/>
            </w:pPr>
            <w:r>
              <w:rPr>
                <w:rFonts w:ascii="Calibri" w:hAnsi="Calibri"/>
                <w:color w:val="16182D"/>
                <w:sz w:val="20"/>
              </w:rPr>
              <w:t>The LLM sees the aggregated primary intent, secondary interests, recent searches, and selected courses. It can explain Web as the current direction, but it does not receive a statement such as 'interest shifted from AI to Web' unless that interpretation is added upstream. The deterministic profile and ranker—not the LLM—should decide whether older AI context is relevant.</w:t>
            </w:r>
          </w:p>
        </w:tc>
      </w:tr>
    </w:tbl>
    <w:p>
      <w:pPr>
        <w:spacing w:after="0"/>
      </w:pPr>
    </w:p>
    <w:p>
      <w:pPr>
        <w:pStyle w:val="Heading2"/>
        <w:keepNext/>
      </w:pPr>
      <w:r>
        <w:t>Recommended temporal upgrade</w:t>
      </w:r>
    </w:p>
    <w:p>
      <w:r>
        <w:rPr>
          <w:rFonts w:ascii="Calibri" w:hAnsi="Calibri"/>
          <w:color w:val="16182D"/>
        </w:rPr>
        <w:t>For a production-grade transition detector, calculate separate 48-hour, 7-day, and 30-day profiles and pass an explicit intent_mode of stable, emerging, shifted, or mixed. A defensible starting blend is 65% short-term, 25% seven-day, and 10% thirty-day evidence. Older interests should be fused into the story only when catalog relationships make the connection useful.</w:t>
      </w:r>
    </w:p>
    <w:p>
      <w:pPr>
        <w:pStyle w:val="Heading1"/>
        <w:keepNext/>
      </w:pPr>
      <w:r>
        <w:t>11. Worked example B - Streaming Data Engineering detail page</w:t>
      </w:r>
    </w:p>
    <w:p>
      <w:r>
        <w:rPr>
          <w:rFonts w:ascii="Calibri" w:hAnsi="Calibri"/>
          <w:color w:val="16182D"/>
        </w:rPr>
        <w:t>A learner opens Streaming Data Engineering. The contextual run starts immediately and centers that exact course. The vector query includes its event-stream domain, level, skills, and description. A candidate such as Java Development Foundations cannot enter merely because Java is globally popular.</w:t>
      </w:r>
    </w:p>
    <w:p>
      <w:pPr>
        <w:pStyle w:val="ListNumber"/>
        <w:spacing w:after="80" w:line="300" w:lineRule="auto"/>
        <w:ind w:left="540" w:hanging="271"/>
      </w:pPr>
      <w:r>
        <w:rPr>
          <w:rFonts w:ascii="Calibri" w:hAnsi="Calibri"/>
          <w:color w:val="16182D"/>
        </w:rPr>
        <w:t>Eligibility gate keeps Data Engineering courses, configured adjacent paths such as MLOps/Cloud/Python, or courses sharing meaningful stream-processing skills.</w:t>
      </w:r>
    </w:p>
    <w:p>
      <w:pPr>
        <w:pStyle w:val="ListNumber"/>
        <w:spacing w:after="80" w:line="300" w:lineRule="auto"/>
        <w:ind w:left="540" w:hanging="271"/>
      </w:pPr>
      <w:r>
        <w:rPr>
          <w:rFonts w:ascii="Calibri" w:hAnsi="Calibri"/>
          <w:color w:val="16182D"/>
        </w:rPr>
        <w:t>Each eligible candidate receives semantic, learning-path, behavior, shared-skill, and level-progression scores.</w:t>
      </w:r>
    </w:p>
    <w:p>
      <w:pPr>
        <w:pStyle w:val="ListNumber"/>
        <w:spacing w:after="80" w:line="300" w:lineRule="auto"/>
        <w:ind w:left="540" w:hanging="271"/>
      </w:pPr>
      <w:r>
        <w:rPr>
          <w:rFonts w:ascii="Calibri" w:hAnsi="Calibri"/>
          <w:color w:val="16182D"/>
        </w:rPr>
        <w:t>The ranker selects up to three, with at most two from the same category.</w:t>
      </w:r>
    </w:p>
    <w:p>
      <w:pPr>
        <w:pStyle w:val="ListNumber"/>
        <w:spacing w:after="80" w:line="300" w:lineRule="auto"/>
        <w:ind w:left="540" w:hanging="271"/>
      </w:pPr>
      <w:r>
        <w:rPr>
          <w:rFonts w:ascii="Calibri" w:hAnsi="Calibri"/>
          <w:color w:val="16182D"/>
        </w:rPr>
        <w:t>MCP verifies that the selected IDs still exist and are active in SQL.</w:t>
      </w:r>
    </w:p>
    <w:p>
      <w:pPr>
        <w:pStyle w:val="ListNumber"/>
        <w:spacing w:after="80" w:line="300" w:lineRule="auto"/>
        <w:ind w:left="540" w:hanging="271"/>
      </w:pPr>
      <w:r>
        <w:rPr>
          <w:rFonts w:ascii="Calibri" w:hAnsi="Calibri"/>
          <w:color w:val="16182D"/>
        </w:rPr>
        <w:t>The LLM writes a story such as: Streaming Data Engineering gives you event-flow foundations; an MLOps course adds deployment and monitoring capabilities for those pipelines.</w:t>
      </w:r>
    </w:p>
    <w:p>
      <w:pPr>
        <w:pStyle w:val="ListNumber"/>
        <w:spacing w:after="80" w:line="300" w:lineRule="auto"/>
        <w:ind w:left="540" w:hanging="271"/>
      </w:pPr>
      <w:r>
        <w:rPr>
          <w:rFonts w:ascii="Calibri" w:hAnsi="Calibri"/>
          <w:color w:val="16182D"/>
        </w:rPr>
        <w:t>Validation rejects any output that changes, duplicates, or invents an ID; the verified recommendation is stored with the source-course ID.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7E9"/>
            <w:tcMar>
              <w:top w:w="100" w:type="dxa"/>
              <w:start w:w="120" w:type="dxa"/>
              <w:bottom w:w="100" w:type="dxa"/>
              <w:end w:w="120" w:type="dxa"/>
            </w:tcMar>
            <w:vAlign w:val="center"/>
          </w:tcPr>
          <w:p>
            <w:pPr>
              <w:spacing w:after="60"/>
            </w:pPr>
            <w:r>
              <w:rPr>
                <w:rFonts w:ascii="Calibri" w:hAnsi="Calibri"/>
                <w:b/>
                <w:color w:val="A56508"/>
                <w:sz w:val="17"/>
              </w:rPr>
              <w:t>CONFIDENCE LANGUAGE</w:t>
            </w:r>
          </w:p>
          <w:p>
            <w:pPr>
              <w:spacing w:after="0" w:line="276" w:lineRule="auto"/>
            </w:pPr>
            <w:r>
              <w:rPr>
                <w:rFonts w:ascii="Calibri" w:hAnsi="Calibri"/>
                <w:color w:val="16182D"/>
                <w:sz w:val="20"/>
              </w:rPr>
              <w:t>The displayed fit confidence is evidence-based but not a statistically calibrated probability that the learner will purchase or complete the course. It should be presented as fit confidence, not guaranteed likelihood.</w:t>
            </w:r>
          </w:p>
        </w:tc>
      </w:tr>
    </w:tbl>
    <w:p>
      <w:pPr>
        <w:spacing w:after="0"/>
      </w:pPr>
    </w:p>
    <w:p>
      <w:pPr>
        <w:pStyle w:val="Heading1"/>
        <w:keepNext/>
      </w:pPr>
      <w:r>
        <w:t>12. Exclusions, feedback, and recommendation refresh</w:t>
      </w:r>
    </w:p>
    <w:tbl>
      <w:tblPr>
        <w:tblStyle w:val="TableGrid"/>
        <w:tblW w:type="dxa" w:w="9360"/>
        <w:jc w:val="left"/>
        <w:tblLayout w:type="fixed"/>
        <w:tblLook w:firstColumn="1" w:firstRow="1" w:lastColumn="0" w:lastRow="0" w:noHBand="0" w:noVBand="1" w:val="04A0"/>
        <w:tblInd w:w="120" w:type="dxa"/>
      </w:tblPr>
      <w:tblGrid>
        <w:gridCol w:w="1900"/>
        <w:gridCol w:w="3550"/>
        <w:gridCol w:w="3910"/>
      </w:tblGrid>
      <w:tr>
        <w:trPr>
          <w:tblHeader w:val="true"/>
        </w:trPr>
        <w:tc>
          <w:tcPr>
            <w:tcW w:type="dxa" w:w="1900"/>
            <w:shd w:fill="5445D6"/>
            <w:vAlign w:val="center"/>
            <w:tcMar>
              <w:top w:w="100" w:type="dxa"/>
              <w:start w:w="120" w:type="dxa"/>
              <w:bottom w:w="100" w:type="dxa"/>
              <w:end w:w="120" w:type="dxa"/>
            </w:tcMar>
          </w:tcPr>
          <w:p>
            <w:pPr>
              <w:spacing w:after="0"/>
              <w:jc w:val="left"/>
            </w:pPr>
            <w:r>
              <w:rPr>
                <w:rFonts w:ascii="Calibri" w:hAnsi="Calibri"/>
                <w:b/>
                <w:color w:val="FFFFFF"/>
                <w:sz w:val="17"/>
              </w:rPr>
              <w:t>Behavior</w:t>
            </w:r>
          </w:p>
        </w:tc>
        <w:tc>
          <w:tcPr>
            <w:tcW w:type="dxa" w:w="3550"/>
            <w:shd w:fill="5445D6"/>
            <w:vAlign w:val="center"/>
            <w:tcMar>
              <w:top w:w="100" w:type="dxa"/>
              <w:start w:w="120" w:type="dxa"/>
              <w:bottom w:w="100" w:type="dxa"/>
              <w:end w:w="120" w:type="dxa"/>
            </w:tcMar>
          </w:tcPr>
          <w:p>
            <w:pPr>
              <w:spacing w:after="0"/>
              <w:jc w:val="center"/>
            </w:pPr>
            <w:r>
              <w:rPr>
                <w:rFonts w:ascii="Calibri" w:hAnsi="Calibri"/>
                <w:b/>
                <w:color w:val="FFFFFF"/>
                <w:sz w:val="17"/>
              </w:rPr>
              <w:t>Selection effect</w:t>
            </w:r>
          </w:p>
        </w:tc>
        <w:tc>
          <w:tcPr>
            <w:tcW w:type="dxa" w:w="3910"/>
            <w:shd w:fill="5445D6"/>
            <w:vAlign w:val="center"/>
            <w:tcMar>
              <w:top w:w="100" w:type="dxa"/>
              <w:start w:w="120" w:type="dxa"/>
              <w:bottom w:w="100" w:type="dxa"/>
              <w:end w:w="120" w:type="dxa"/>
            </w:tcMar>
          </w:tcPr>
          <w:p>
            <w:pPr>
              <w:spacing w:after="0"/>
              <w:jc w:val="center"/>
            </w:pPr>
            <w:r>
              <w:rPr>
                <w:rFonts w:ascii="Calibri" w:hAnsi="Calibri"/>
                <w:b/>
                <w:color w:val="FFFFFF"/>
                <w:sz w:val="17"/>
              </w:rPr>
              <w:t>Future behavior</w:t>
            </w:r>
          </w:p>
        </w:tc>
      </w:tr>
      <w:tr>
        <w:tc>
          <w:tcPr>
            <w:tcW w:type="dxa" w:w="1900"/>
            <w:vAlign w:val="center"/>
            <w:tcMar>
              <w:top w:w="100" w:type="dxa"/>
              <w:start w:w="120" w:type="dxa"/>
              <w:bottom w:w="100" w:type="dxa"/>
              <w:end w:w="120" w:type="dxa"/>
            </w:tcMar>
          </w:tcPr>
          <w:p>
            <w:pPr>
              <w:spacing w:after="0" w:line="259" w:lineRule="auto"/>
              <w:jc w:val="left"/>
            </w:pPr>
            <w:r>
              <w:rPr>
                <w:rFonts w:ascii="Calibri" w:hAnsi="Calibri"/>
                <w:color w:val="16182D"/>
                <w:sz w:val="16"/>
              </w:rPr>
              <w:t>Added to cart</w:t>
            </w:r>
          </w:p>
        </w:tc>
        <w:tc>
          <w:tcPr>
            <w:tcW w:type="dxa" w:w="3550"/>
            <w:vAlign w:val="center"/>
            <w:tcMar>
              <w:top w:w="100" w:type="dxa"/>
              <w:start w:w="120" w:type="dxa"/>
              <w:bottom w:w="100" w:type="dxa"/>
              <w:end w:w="120" w:type="dxa"/>
            </w:tcMar>
          </w:tcPr>
          <w:p>
            <w:pPr>
              <w:spacing w:after="0" w:line="259" w:lineRule="auto"/>
              <w:jc w:val="left"/>
            </w:pPr>
            <w:r>
              <w:rPr>
                <w:rFonts w:ascii="Calibri" w:hAnsi="Calibri"/>
                <w:color w:val="16182D"/>
                <w:sz w:val="16"/>
              </w:rPr>
              <w:t>Exact course excluded from recommendations</w:t>
            </w:r>
          </w:p>
        </w:tc>
        <w:tc>
          <w:tcPr>
            <w:tcW w:type="dxa" w:w="3910"/>
            <w:vAlign w:val="center"/>
            <w:tcMar>
              <w:top w:w="100" w:type="dxa"/>
              <w:start w:w="120" w:type="dxa"/>
              <w:bottom w:w="100" w:type="dxa"/>
              <w:end w:w="120" w:type="dxa"/>
            </w:tcMar>
          </w:tcPr>
          <w:p>
            <w:pPr>
              <w:spacing w:after="0" w:line="259" w:lineRule="auto"/>
              <w:jc w:val="left"/>
            </w:pPr>
            <w:r>
              <w:rPr>
                <w:rFonts w:ascii="Calibri" w:hAnsi="Calibri"/>
                <w:color w:val="16182D"/>
                <w:sz w:val="16"/>
              </w:rPr>
              <w:t>Related-course behavior still informs the profile</w:t>
            </w:r>
          </w:p>
        </w:tc>
      </w:tr>
      <w:tr>
        <w:tc>
          <w:tcPr>
            <w:tcW w:type="dxa" w:w="19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Removed from cart</w:t>
            </w:r>
          </w:p>
        </w:tc>
        <w:tc>
          <w:tcPr>
            <w:tcW w:type="dxa" w:w="355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Course becomes eligible again</w:t>
            </w:r>
          </w:p>
        </w:tc>
        <w:tc>
          <w:tcPr>
            <w:tcW w:type="dxa" w:w="391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Does not create persistent negative preference</w:t>
            </w:r>
          </w:p>
        </w:tc>
      </w:tr>
      <w:tr>
        <w:tc>
          <w:tcPr>
            <w:tcW w:type="dxa" w:w="1900"/>
            <w:vAlign w:val="center"/>
            <w:tcMar>
              <w:top w:w="100" w:type="dxa"/>
              <w:start w:w="120" w:type="dxa"/>
              <w:bottom w:w="100" w:type="dxa"/>
              <w:end w:w="120" w:type="dxa"/>
            </w:tcMar>
          </w:tcPr>
          <w:p>
            <w:pPr>
              <w:spacing w:after="0" w:line="259" w:lineRule="auto"/>
              <w:jc w:val="left"/>
            </w:pPr>
            <w:r>
              <w:rPr>
                <w:rFonts w:ascii="Calibri" w:hAnsi="Calibri"/>
                <w:color w:val="16182D"/>
                <w:sz w:val="16"/>
              </w:rPr>
              <w:t>Purchase completed</w:t>
            </w:r>
          </w:p>
        </w:tc>
        <w:tc>
          <w:tcPr>
            <w:tcW w:type="dxa" w:w="3550"/>
            <w:vAlign w:val="center"/>
            <w:tcMar>
              <w:top w:w="100" w:type="dxa"/>
              <w:start w:w="120" w:type="dxa"/>
              <w:bottom w:w="100" w:type="dxa"/>
              <w:end w:w="120" w:type="dxa"/>
            </w:tcMar>
          </w:tcPr>
          <w:p>
            <w:pPr>
              <w:spacing w:after="0" w:line="259" w:lineRule="auto"/>
              <w:jc w:val="left"/>
            </w:pPr>
            <w:r>
              <w:rPr>
                <w:rFonts w:ascii="Calibri" w:hAnsi="Calibri"/>
                <w:color w:val="16182D"/>
                <w:sz w:val="16"/>
              </w:rPr>
              <w:t>Purchased course excluded</w:t>
            </w:r>
          </w:p>
        </w:tc>
        <w:tc>
          <w:tcPr>
            <w:tcW w:type="dxa" w:w="3910"/>
            <w:vAlign w:val="center"/>
            <w:tcMar>
              <w:top w:w="100" w:type="dxa"/>
              <w:start w:w="120" w:type="dxa"/>
              <w:bottom w:w="100" w:type="dxa"/>
              <w:end w:w="120" w:type="dxa"/>
            </w:tcMar>
          </w:tcPr>
          <w:p>
            <w:pPr>
              <w:spacing w:after="0" w:line="259" w:lineRule="auto"/>
              <w:jc w:val="left"/>
            </w:pPr>
            <w:r>
              <w:rPr>
                <w:rFonts w:ascii="Calibri" w:hAnsi="Calibri"/>
                <w:color w:val="16182D"/>
                <w:sz w:val="16"/>
              </w:rPr>
              <w:t>Conversion strengthens the topic/journey evidence</w:t>
            </w:r>
          </w:p>
        </w:tc>
      </w:tr>
      <w:tr>
        <w:tc>
          <w:tcPr>
            <w:tcW w:type="dxa" w:w="19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Not for me</w:t>
            </w:r>
          </w:p>
        </w:tc>
        <w:tc>
          <w:tcPr>
            <w:tcW w:type="dxa" w:w="355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Exact product enters the negative set</w:t>
            </w:r>
          </w:p>
        </w:tc>
        <w:tc>
          <w:tcPr>
            <w:tcW w:type="dxa" w:w="391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Later positive action can clear that negative state</w:t>
            </w:r>
          </w:p>
        </w:tc>
      </w:tr>
      <w:tr>
        <w:tc>
          <w:tcPr>
            <w:tcW w:type="dxa" w:w="1900"/>
            <w:vAlign w:val="center"/>
            <w:tcMar>
              <w:top w:w="100" w:type="dxa"/>
              <w:start w:w="120" w:type="dxa"/>
              <w:bottom w:w="100" w:type="dxa"/>
              <w:end w:w="120" w:type="dxa"/>
            </w:tcMar>
          </w:tcPr>
          <w:p>
            <w:pPr>
              <w:spacing w:after="0" w:line="259" w:lineRule="auto"/>
              <w:jc w:val="left"/>
            </w:pPr>
            <w:r>
              <w:rPr>
                <w:rFonts w:ascii="Calibri" w:hAnsi="Calibri"/>
                <w:color w:val="16182D"/>
                <w:sz w:val="16"/>
              </w:rPr>
              <w:t>Recommendation clicked</w:t>
            </w:r>
          </w:p>
        </w:tc>
        <w:tc>
          <w:tcPr>
            <w:tcW w:type="dxa" w:w="3550"/>
            <w:vAlign w:val="center"/>
            <w:tcMar>
              <w:top w:w="100" w:type="dxa"/>
              <w:start w:w="120" w:type="dxa"/>
              <w:bottom w:w="100" w:type="dxa"/>
              <w:end w:w="120" w:type="dxa"/>
            </w:tcMar>
          </w:tcPr>
          <w:p>
            <w:pPr>
              <w:spacing w:after="0" w:line="259" w:lineRule="auto"/>
              <w:jc w:val="left"/>
            </w:pPr>
            <w:r>
              <w:rPr>
                <w:rFonts w:ascii="Calibri" w:hAnsi="Calibri"/>
                <w:color w:val="16182D"/>
                <w:sz w:val="16"/>
              </w:rPr>
              <w:t>Positive product/topic evidence</w:t>
            </w:r>
          </w:p>
        </w:tc>
        <w:tc>
          <w:tcPr>
            <w:tcW w:type="dxa" w:w="3910"/>
            <w:vAlign w:val="center"/>
            <w:tcMar>
              <w:top w:w="100" w:type="dxa"/>
              <w:start w:w="120" w:type="dxa"/>
              <w:bottom w:w="100" w:type="dxa"/>
              <w:end w:w="120" w:type="dxa"/>
            </w:tcMar>
          </w:tcPr>
          <w:p>
            <w:pPr>
              <w:spacing w:after="0" w:line="259" w:lineRule="auto"/>
              <w:jc w:val="left"/>
            </w:pPr>
            <w:r>
              <w:rPr>
                <w:rFonts w:ascii="Calibri" w:hAnsi="Calibri"/>
                <w:color w:val="16182D"/>
                <w:sz w:val="16"/>
              </w:rPr>
              <w:t>Can help cross the next 8-point refresh threshold</w:t>
            </w:r>
          </w:p>
        </w:tc>
      </w:tr>
    </w:tbl>
    <w:p>
      <w:pPr>
        <w:spacing w:after="0"/>
      </w:pPr>
    </w:p>
    <w:p>
      <w:pPr>
        <w:pStyle w:val="Heading1"/>
        <w:keepNext/>
      </w:pPr>
      <w:r>
        <w:t>13. Reliability, observability, and recovery</w:t>
      </w:r>
    </w:p>
    <w:p>
      <w:pPr>
        <w:pStyle w:val="ListBullet"/>
        <w:spacing w:after="80" w:line="300" w:lineRule="auto"/>
        <w:ind w:left="540" w:hanging="271"/>
      </w:pPr>
      <w:r>
        <w:rPr>
          <w:rFonts w:ascii="Calibri" w:hAnsi="Calibri"/>
          <w:color w:val="16182D"/>
        </w:rPr>
        <w:t>Recommendation runs have queued/running/succeeded/failed states, current node, retry count, lease expiry, and error evidence.</w:t>
      </w:r>
    </w:p>
    <w:p>
      <w:pPr>
        <w:pStyle w:val="ListBullet"/>
        <w:spacing w:after="80" w:line="300" w:lineRule="auto"/>
        <w:ind w:left="540" w:hanging="271"/>
      </w:pPr>
      <w:r>
        <w:rPr>
          <w:rFonts w:ascii="Calibri" w:hAnsi="Calibri"/>
          <w:color w:val="16182D"/>
        </w:rPr>
        <w:t>Contextual leases use the contextual model timeout plus 35 seconds; overall runs use a 300-second lease.</w:t>
      </w:r>
    </w:p>
    <w:p>
      <w:pPr>
        <w:pStyle w:val="ListBullet"/>
        <w:spacing w:after="80" w:line="300" w:lineRule="auto"/>
        <w:ind w:left="540" w:hanging="271"/>
      </w:pPr>
      <w:r>
        <w:rPr>
          <w:rFonts w:ascii="Calibri" w:hAnsi="Calibri"/>
          <w:color w:val="16182D"/>
        </w:rPr>
        <w:t>A queued contextual run older than 60 seconds, or a run with an expired lease, is closed as stale and safely replaced on the next visit.</w:t>
      </w:r>
    </w:p>
    <w:p>
      <w:pPr>
        <w:pStyle w:val="ListBullet"/>
        <w:spacing w:after="80" w:line="300" w:lineRule="auto"/>
        <w:ind w:left="540" w:hanging="271"/>
      </w:pPr>
      <w:r>
        <w:rPr>
          <w:rFonts w:ascii="Calibri" w:hAnsi="Calibri"/>
          <w:color w:val="16182D"/>
        </w:rPr>
        <w:t>Every RAG, MCP, LangGraph, and LLM provider attempt creates local service-invocation evidence with user/run correlation, latency, tokens, model, attempt, failure, failover decision, and provider receipt when available.</w:t>
      </w:r>
    </w:p>
    <w:p>
      <w:pPr>
        <w:pStyle w:val="ListBullet"/>
        <w:spacing w:after="80" w:line="300" w:lineRule="auto"/>
        <w:ind w:left="540" w:hanging="271"/>
      </w:pPr>
      <w:r>
        <w:rPr>
          <w:rFonts w:ascii="Calibri" w:hAnsi="Calibri"/>
          <w:color w:val="16182D"/>
        </w:rPr>
        <w:t>LangSmith traces the recommendation chain, RAG retriever span, MCP verification tool span, generation chain, and one LLM span per Mesh provider attempt when tracing is enabled.</w:t>
      </w:r>
    </w:p>
    <w:p>
      <w:pPr>
        <w:pStyle w:val="ListBullet"/>
        <w:spacing w:after="80" w:line="300" w:lineRule="auto"/>
        <w:ind w:left="540" w:hanging="271"/>
      </w:pPr>
      <w:r>
        <w:rPr>
          <w:rFonts w:ascii="Calibri" w:hAnsi="Calibri"/>
          <w:color w:val="16182D"/>
        </w:rPr>
        <w:t>Local and LangSmith numbers are reconciled by correlation ID; delayed export is reported rather than force-matched.</w:t>
      </w:r>
    </w:p>
    <w:p>
      <w:pPr>
        <w:pStyle w:val="Heading1"/>
        <w:keepNext/>
      </w:pPr>
      <w:r>
        <w:t>14. Current limitations and recommended next changes</w:t>
      </w:r>
    </w:p>
    <w:tbl>
      <w:tblPr>
        <w:tblStyle w:val="TableGrid"/>
        <w:tblW w:type="dxa" w:w="9360"/>
        <w:jc w:val="left"/>
        <w:tblLayout w:type="fixed"/>
        <w:tblLook w:firstColumn="1" w:firstRow="1" w:lastColumn="0" w:lastRow="0" w:noHBand="0" w:noVBand="1" w:val="04A0"/>
        <w:tblInd w:w="120" w:type="dxa"/>
      </w:tblPr>
      <w:tblGrid>
        <w:gridCol w:w="2350"/>
        <w:gridCol w:w="3270"/>
        <w:gridCol w:w="3740"/>
      </w:tblGrid>
      <w:tr>
        <w:trPr>
          <w:tblHeader w:val="true"/>
        </w:trPr>
        <w:tc>
          <w:tcPr>
            <w:tcW w:type="dxa" w:w="2350"/>
            <w:shd w:fill="5445D6"/>
            <w:vAlign w:val="center"/>
            <w:tcMar>
              <w:top w:w="100" w:type="dxa"/>
              <w:start w:w="120" w:type="dxa"/>
              <w:bottom w:w="100" w:type="dxa"/>
              <w:end w:w="120" w:type="dxa"/>
            </w:tcMar>
          </w:tcPr>
          <w:p>
            <w:pPr>
              <w:spacing w:after="0"/>
              <w:jc w:val="left"/>
            </w:pPr>
            <w:r>
              <w:rPr>
                <w:rFonts w:ascii="Calibri" w:hAnsi="Calibri"/>
                <w:b/>
                <w:color w:val="FFFFFF"/>
                <w:sz w:val="17"/>
              </w:rPr>
              <w:t>Current condition</w:t>
            </w:r>
          </w:p>
        </w:tc>
        <w:tc>
          <w:tcPr>
            <w:tcW w:type="dxa" w:w="3270"/>
            <w:shd w:fill="5445D6"/>
            <w:vAlign w:val="center"/>
            <w:tcMar>
              <w:top w:w="100" w:type="dxa"/>
              <w:start w:w="120" w:type="dxa"/>
              <w:bottom w:w="100" w:type="dxa"/>
              <w:end w:w="120" w:type="dxa"/>
            </w:tcMar>
          </w:tcPr>
          <w:p>
            <w:pPr>
              <w:spacing w:after="0"/>
              <w:jc w:val="center"/>
            </w:pPr>
            <w:r>
              <w:rPr>
                <w:rFonts w:ascii="Calibri" w:hAnsi="Calibri"/>
                <w:b/>
                <w:color w:val="FFFFFF"/>
                <w:sz w:val="17"/>
              </w:rPr>
              <w:t>Why it matters</w:t>
            </w:r>
          </w:p>
        </w:tc>
        <w:tc>
          <w:tcPr>
            <w:tcW w:type="dxa" w:w="3740"/>
            <w:shd w:fill="5445D6"/>
            <w:vAlign w:val="center"/>
            <w:tcMar>
              <w:top w:w="100" w:type="dxa"/>
              <w:start w:w="120" w:type="dxa"/>
              <w:bottom w:w="100" w:type="dxa"/>
              <w:end w:w="120" w:type="dxa"/>
            </w:tcMar>
          </w:tcPr>
          <w:p>
            <w:pPr>
              <w:spacing w:after="0"/>
              <w:jc w:val="center"/>
            </w:pPr>
            <w:r>
              <w:rPr>
                <w:rFonts w:ascii="Calibri" w:hAnsi="Calibri"/>
                <w:b/>
                <w:color w:val="FFFFFF"/>
                <w:sz w:val="17"/>
              </w:rPr>
              <w:t>Recommended action</w:t>
            </w:r>
          </w:p>
        </w:tc>
      </w:tr>
      <w:tr>
        <w:tc>
          <w:tcPr>
            <w:tcW w:type="dxa" w:w="2350"/>
            <w:vAlign w:val="center"/>
            <w:tcMar>
              <w:top w:w="100" w:type="dxa"/>
              <w:start w:w="120" w:type="dxa"/>
              <w:bottom w:w="100" w:type="dxa"/>
              <w:end w:w="120" w:type="dxa"/>
            </w:tcMar>
          </w:tcPr>
          <w:p>
            <w:pPr>
              <w:spacing w:after="0" w:line="259" w:lineRule="auto"/>
              <w:jc w:val="left"/>
            </w:pPr>
            <w:r>
              <w:rPr>
                <w:rFonts w:ascii="Calibri" w:hAnsi="Calibri"/>
                <w:color w:val="16182D"/>
                <w:sz w:val="16"/>
              </w:rPr>
              <w:t>No fixed enforced signal lookback</w:t>
            </w:r>
          </w:p>
        </w:tc>
        <w:tc>
          <w:tcPr>
            <w:tcW w:type="dxa" w:w="3270"/>
            <w:vAlign w:val="center"/>
            <w:tcMar>
              <w:top w:w="100" w:type="dxa"/>
              <w:start w:w="120" w:type="dxa"/>
              <w:bottom w:w="100" w:type="dxa"/>
              <w:end w:w="120" w:type="dxa"/>
            </w:tcMar>
          </w:tcPr>
          <w:p>
            <w:pPr>
              <w:spacing w:after="0" w:line="259" w:lineRule="auto"/>
              <w:jc w:val="left"/>
            </w:pPr>
            <w:r>
              <w:rPr>
                <w:rFonts w:ascii="Calibri" w:hAnsi="Calibri"/>
                <w:color w:val="16182D"/>
                <w:sz w:val="16"/>
              </w:rPr>
              <w:t>Expired signals can still enter the latest-500 profile query</w:t>
            </w:r>
          </w:p>
        </w:tc>
        <w:tc>
          <w:tcPr>
            <w:tcW w:type="dxa" w:w="3740"/>
            <w:vAlign w:val="center"/>
            <w:tcMar>
              <w:top w:w="100" w:type="dxa"/>
              <w:start w:w="120" w:type="dxa"/>
              <w:bottom w:w="100" w:type="dxa"/>
              <w:end w:w="120" w:type="dxa"/>
            </w:tcMar>
          </w:tcPr>
          <w:p>
            <w:pPr>
              <w:spacing w:after="0" w:line="259" w:lineRule="auto"/>
              <w:jc w:val="left"/>
            </w:pPr>
            <w:r>
              <w:rPr>
                <w:rFonts w:ascii="Calibri" w:hAnsi="Calibri"/>
                <w:color w:val="16182D"/>
                <w:sz w:val="16"/>
              </w:rPr>
              <w:t>Filter expires_at and schedule cleanup; enforce a 30-day maximum</w:t>
            </w:r>
          </w:p>
        </w:tc>
      </w:tr>
      <w:tr>
        <w:tc>
          <w:tcPr>
            <w:tcW w:type="dxa" w:w="235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No explicit intent-shift state</w:t>
            </w:r>
          </w:p>
        </w:tc>
        <w:tc>
          <w:tcPr>
            <w:tcW w:type="dxa" w:w="327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Older and newer topics may be blended without a declared transition</w:t>
            </w:r>
          </w:p>
        </w:tc>
        <w:tc>
          <w:tcPr>
            <w:tcW w:type="dxa" w:w="374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Add 48h/7d/30d profiles and shift confidence</w:t>
            </w:r>
          </w:p>
        </w:tc>
      </w:tr>
      <w:tr>
        <w:tc>
          <w:tcPr>
            <w:tcW w:type="dxa" w:w="2350"/>
            <w:vAlign w:val="center"/>
            <w:tcMar>
              <w:top w:w="100" w:type="dxa"/>
              <w:start w:w="120" w:type="dxa"/>
              <w:bottom w:w="100" w:type="dxa"/>
              <w:end w:w="120" w:type="dxa"/>
            </w:tcMar>
          </w:tcPr>
          <w:p>
            <w:pPr>
              <w:spacing w:after="0" w:line="259" w:lineRule="auto"/>
              <w:jc w:val="left"/>
            </w:pPr>
            <w:r>
              <w:rPr>
                <w:rFonts w:ascii="Calibri" w:hAnsi="Calibri"/>
                <w:color w:val="16182D"/>
                <w:sz w:val="16"/>
              </w:rPr>
              <w:t>Heuristic trigger threshold</w:t>
            </w:r>
          </w:p>
        </w:tc>
        <w:tc>
          <w:tcPr>
            <w:tcW w:type="dxa" w:w="3270"/>
            <w:vAlign w:val="center"/>
            <w:tcMar>
              <w:top w:w="100" w:type="dxa"/>
              <w:start w:w="120" w:type="dxa"/>
              <w:bottom w:w="100" w:type="dxa"/>
              <w:end w:w="120" w:type="dxa"/>
            </w:tcMar>
          </w:tcPr>
          <w:p>
            <w:pPr>
              <w:spacing w:after="0" w:line="259" w:lineRule="auto"/>
              <w:jc w:val="left"/>
            </w:pPr>
            <w:r>
              <w:rPr>
                <w:rFonts w:ascii="Calibri" w:hAnsi="Calibri"/>
                <w:color w:val="16182D"/>
                <w:sz w:val="16"/>
              </w:rPr>
              <w:t>8 points is explainable but not statistically optimized</w:t>
            </w:r>
          </w:p>
        </w:tc>
        <w:tc>
          <w:tcPr>
            <w:tcW w:type="dxa" w:w="3740"/>
            <w:vAlign w:val="center"/>
            <w:tcMar>
              <w:top w:w="100" w:type="dxa"/>
              <w:start w:w="120" w:type="dxa"/>
              <w:bottom w:w="100" w:type="dxa"/>
              <w:end w:w="120" w:type="dxa"/>
            </w:tcMar>
          </w:tcPr>
          <w:p>
            <w:pPr>
              <w:spacing w:after="0" w:line="259" w:lineRule="auto"/>
              <w:jc w:val="left"/>
            </w:pPr>
            <w:r>
              <w:rPr>
                <w:rFonts w:ascii="Calibri" w:hAnsi="Calibri"/>
                <w:color w:val="16182D"/>
                <w:sz w:val="16"/>
              </w:rPr>
              <w:t>Replay history and A/B test CTR, dismissal, conversion, cost, and latency</w:t>
            </w:r>
          </w:p>
        </w:tc>
      </w:tr>
      <w:tr>
        <w:tc>
          <w:tcPr>
            <w:tcW w:type="dxa" w:w="235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Fit likelihood not calibrated</w:t>
            </w:r>
          </w:p>
        </w:tc>
        <w:tc>
          <w:tcPr>
            <w:tcW w:type="dxa" w:w="327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A 0-1 score may be mistaken for purchase probability</w:t>
            </w:r>
          </w:p>
        </w:tc>
        <w:tc>
          <w:tcPr>
            <w:tcW w:type="dxa" w:w="374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Calibrate with outcomes or label strictly as fit confidence</w:t>
            </w:r>
          </w:p>
        </w:tc>
      </w:tr>
      <w:tr>
        <w:tc>
          <w:tcPr>
            <w:tcW w:type="dxa" w:w="2350"/>
            <w:vAlign w:val="center"/>
            <w:tcMar>
              <w:top w:w="100" w:type="dxa"/>
              <w:start w:w="120" w:type="dxa"/>
              <w:bottom w:w="100" w:type="dxa"/>
              <w:end w:w="120" w:type="dxa"/>
            </w:tcMar>
          </w:tcPr>
          <w:p>
            <w:pPr>
              <w:spacing w:after="0" w:line="259" w:lineRule="auto"/>
              <w:jc w:val="left"/>
            </w:pPr>
            <w:r>
              <w:rPr>
                <w:rFonts w:ascii="Calibri" w:hAnsi="Calibri"/>
                <w:color w:val="16182D"/>
                <w:sz w:val="16"/>
              </w:rPr>
              <w:t>In-memory LangGraph checkpoint</w:t>
            </w:r>
          </w:p>
        </w:tc>
        <w:tc>
          <w:tcPr>
            <w:tcW w:type="dxa" w:w="3270"/>
            <w:vAlign w:val="center"/>
            <w:tcMar>
              <w:top w:w="100" w:type="dxa"/>
              <w:start w:w="120" w:type="dxa"/>
              <w:bottom w:w="100" w:type="dxa"/>
              <w:end w:w="120" w:type="dxa"/>
            </w:tcMar>
          </w:tcPr>
          <w:p>
            <w:pPr>
              <w:spacing w:after="0" w:line="259" w:lineRule="auto"/>
              <w:jc w:val="left"/>
            </w:pPr>
            <w:r>
              <w:rPr>
                <w:rFonts w:ascii="Calibri" w:hAnsi="Calibri"/>
                <w:color w:val="16182D"/>
                <w:sz w:val="16"/>
              </w:rPr>
              <w:t>Graph checkpoint does not survive a process restart</w:t>
            </w:r>
          </w:p>
        </w:tc>
        <w:tc>
          <w:tcPr>
            <w:tcW w:type="dxa" w:w="3740"/>
            <w:vAlign w:val="center"/>
            <w:tcMar>
              <w:top w:w="100" w:type="dxa"/>
              <w:start w:w="120" w:type="dxa"/>
              <w:bottom w:w="100" w:type="dxa"/>
              <w:end w:w="120" w:type="dxa"/>
            </w:tcMar>
          </w:tcPr>
          <w:p>
            <w:pPr>
              <w:spacing w:after="0" w:line="259" w:lineRule="auto"/>
              <w:jc w:val="left"/>
            </w:pPr>
            <w:r>
              <w:rPr>
                <w:rFonts w:ascii="Calibri" w:hAnsi="Calibri"/>
                <w:color w:val="16182D"/>
                <w:sz w:val="16"/>
              </w:rPr>
              <w:t>Use a durable LangGraph checkpointer while retaining SQL run evidence</w:t>
            </w:r>
          </w:p>
        </w:tc>
      </w:tr>
      <w:tr>
        <w:tc>
          <w:tcPr>
            <w:tcW w:type="dxa" w:w="235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Homepage expiry not enforced</w:t>
            </w:r>
          </w:p>
        </w:tc>
        <w:tc>
          <w:tcPr>
            <w:tcW w:type="dxa" w:w="327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Last active overall recommendation can remain past seven days</w:t>
            </w:r>
          </w:p>
        </w:tc>
        <w:tc>
          <w:tcPr>
            <w:tcW w:type="dxa" w:w="374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Apply expires_at in the loader or schedule a refresh</w:t>
            </w:r>
          </w:p>
        </w:tc>
      </w:tr>
      <w:tr>
        <w:tc>
          <w:tcPr>
            <w:tcW w:type="dxa" w:w="2350"/>
            <w:vAlign w:val="center"/>
            <w:tcMar>
              <w:top w:w="100" w:type="dxa"/>
              <w:start w:w="120" w:type="dxa"/>
              <w:bottom w:w="100" w:type="dxa"/>
              <w:end w:w="120" w:type="dxa"/>
            </w:tcMar>
          </w:tcPr>
          <w:p>
            <w:pPr>
              <w:spacing w:after="0" w:line="259" w:lineRule="auto"/>
              <w:jc w:val="left"/>
            </w:pPr>
            <w:r>
              <w:rPr>
                <w:rFonts w:ascii="Calibri" w:hAnsi="Calibri"/>
                <w:color w:val="16182D"/>
                <w:sz w:val="16"/>
              </w:rPr>
              <w:t>Local deterministic embeddings</w:t>
            </w:r>
          </w:p>
        </w:tc>
        <w:tc>
          <w:tcPr>
            <w:tcW w:type="dxa" w:w="3270"/>
            <w:vAlign w:val="center"/>
            <w:tcMar>
              <w:top w:w="100" w:type="dxa"/>
              <w:start w:w="120" w:type="dxa"/>
              <w:bottom w:w="100" w:type="dxa"/>
              <w:end w:w="120" w:type="dxa"/>
            </w:tcMar>
          </w:tcPr>
          <w:p>
            <w:pPr>
              <w:spacing w:after="0" w:line="259" w:lineRule="auto"/>
              <w:jc w:val="left"/>
            </w:pPr>
            <w:r>
              <w:rPr>
                <w:rFonts w:ascii="Calibri" w:hAnsi="Calibri"/>
                <w:color w:val="16182D"/>
                <w:sz w:val="16"/>
              </w:rPr>
              <w:t>Semantic quality may be lower than production embeddings</w:t>
            </w:r>
          </w:p>
        </w:tc>
        <w:tc>
          <w:tcPr>
            <w:tcW w:type="dxa" w:w="3740"/>
            <w:vAlign w:val="center"/>
            <w:tcMar>
              <w:top w:w="100" w:type="dxa"/>
              <w:start w:w="120" w:type="dxa"/>
              <w:bottom w:w="100" w:type="dxa"/>
              <w:end w:w="120" w:type="dxa"/>
            </w:tcMar>
          </w:tcPr>
          <w:p>
            <w:pPr>
              <w:spacing w:after="0" w:line="259" w:lineRule="auto"/>
              <w:jc w:val="left"/>
            </w:pPr>
            <w:r>
              <w:rPr>
                <w:rFonts w:ascii="Calibri" w:hAnsi="Calibri"/>
                <w:color w:val="16182D"/>
                <w:sz w:val="16"/>
              </w:rPr>
              <w:t>Enable approved Mesh embedding model and compare retrieval metrics</w:t>
            </w:r>
          </w:p>
        </w:tc>
      </w:tr>
      <w:tr>
        <w:tc>
          <w:tcPr>
            <w:tcW w:type="dxa" w:w="235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Home-page update needs navigation</w:t>
            </w:r>
          </w:p>
        </w:tc>
        <w:tc>
          <w:tcPr>
            <w:tcW w:type="dxa" w:w="327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Completed background refresh is not immediately injected</w:t>
            </w:r>
          </w:p>
        </w:tc>
        <w:tc>
          <w:tcPr>
            <w:tcW w:type="dxa" w:w="374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Add a lightweight recommendation lifecycle poll/SSE update</w:t>
            </w:r>
          </w:p>
        </w:tc>
      </w:tr>
    </w:tbl>
    <w:p>
      <w:pPr>
        <w:spacing w:after="0"/>
      </w:pPr>
    </w:p>
    <w:p>
      <w:pPr>
        <w:pStyle w:val="Heading1"/>
        <w:keepNext/>
      </w:pPr>
      <w:r>
        <w:t>15. Presenter-ready explanation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0EEFF"/>
            <w:tcMar>
              <w:top w:w="100" w:type="dxa"/>
              <w:start w:w="120" w:type="dxa"/>
              <w:bottom w:w="100" w:type="dxa"/>
              <w:end w:w="120" w:type="dxa"/>
            </w:tcMar>
            <w:vAlign w:val="center"/>
          </w:tcPr>
          <w:p>
            <w:pPr>
              <w:spacing w:after="60"/>
            </w:pPr>
            <w:r>
              <w:rPr>
                <w:rFonts w:ascii="Calibri" w:hAnsi="Calibri"/>
                <w:b/>
                <w:color w:val="5445D6"/>
                <w:sz w:val="17"/>
              </w:rPr>
              <w:t>THIRTY-SECOND SUMMARY</w:t>
            </w:r>
          </w:p>
          <w:p>
            <w:pPr>
              <w:spacing w:after="0" w:line="276" w:lineRule="auto"/>
            </w:pPr>
            <w:r>
              <w:rPr>
                <w:rFonts w:ascii="Calibri" w:hAnsi="Calibri"/>
                <w:color w:val="16182D"/>
                <w:sz w:val="20"/>
              </w:rPr>
              <w:t>SmartReco does not ask an LLM to guess courses. It captures private user behavior, converts it into recency-decayed evidence, and waits until meaningful activity justifies an overall refresh. RAG retrieves real catalog candidates, deterministic scoring and exclusions choose the courses, MCP verifies them, and LangGraph controls generation, validation, fallback, and persistence. On a course page, the current course becomes the hard relevance anchor while the learner profile personalizes the next step. The LLM's job is to explain the verified path persuasively and safely.</w:t>
            </w:r>
          </w:p>
        </w:tc>
      </w:tr>
    </w:tbl>
    <w:p>
      <w:pPr>
        <w:spacing w:after="0"/>
      </w:pPr>
    </w:p>
    <w:p>
      <w:pPr>
        <w:pStyle w:val="Heading2"/>
        <w:keepNext/>
      </w:pPr>
      <w:r>
        <w:t>Key distinction</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5445D6"/>
            <w:vAlign w:val="center"/>
            <w:tcMar>
              <w:top w:w="100" w:type="dxa"/>
              <w:start w:w="120" w:type="dxa"/>
              <w:bottom w:w="100" w:type="dxa"/>
              <w:end w:w="120" w:type="dxa"/>
            </w:tcMar>
          </w:tcPr>
          <w:p>
            <w:pPr>
              <w:spacing w:after="0"/>
              <w:jc w:val="left"/>
            </w:pPr>
            <w:r>
              <w:rPr>
                <w:rFonts w:ascii="Calibri" w:hAnsi="Calibri"/>
                <w:b/>
                <w:color w:val="FFFFFF"/>
                <w:sz w:val="17"/>
              </w:rPr>
              <w:t>Question</w:t>
            </w:r>
          </w:p>
        </w:tc>
        <w:tc>
          <w:tcPr>
            <w:tcW w:type="dxa" w:w="6860"/>
            <w:shd w:fill="5445D6"/>
            <w:vAlign w:val="center"/>
            <w:tcMar>
              <w:top w:w="100" w:type="dxa"/>
              <w:start w:w="120" w:type="dxa"/>
              <w:bottom w:w="100" w:type="dxa"/>
              <w:end w:w="120" w:type="dxa"/>
            </w:tcMar>
          </w:tcPr>
          <w:p>
            <w:pPr>
              <w:spacing w:after="0"/>
              <w:jc w:val="center"/>
            </w:pPr>
            <w:r>
              <w:rPr>
                <w:rFonts w:ascii="Calibri" w:hAnsi="Calibri"/>
                <w:b/>
                <w:color w:val="FFFFFF"/>
                <w:sz w:val="17"/>
              </w:rPr>
              <w:t>Answer</w:t>
            </w:r>
          </w:p>
        </w:tc>
      </w:tr>
      <w:tr>
        <w:tc>
          <w:tcPr>
            <w:tcW w:type="dxa" w:w="2500"/>
            <w:vAlign w:val="center"/>
            <w:tcMar>
              <w:top w:w="100" w:type="dxa"/>
              <w:start w:w="120" w:type="dxa"/>
              <w:bottom w:w="100" w:type="dxa"/>
              <w:end w:w="120" w:type="dxa"/>
            </w:tcMar>
          </w:tcPr>
          <w:p>
            <w:pPr>
              <w:spacing w:after="0" w:line="259" w:lineRule="auto"/>
              <w:jc w:val="left"/>
            </w:pPr>
            <w:r>
              <w:rPr>
                <w:rFonts w:ascii="Calibri" w:hAnsi="Calibri"/>
                <w:color w:val="16182D"/>
                <w:sz w:val="17"/>
              </w:rPr>
              <w:t>Who chooses the courses?</w:t>
            </w:r>
          </w:p>
        </w:tc>
        <w:tc>
          <w:tcPr>
            <w:tcW w:type="dxa" w:w="6860"/>
            <w:vAlign w:val="center"/>
            <w:tcMar>
              <w:top w:w="100" w:type="dxa"/>
              <w:start w:w="120" w:type="dxa"/>
              <w:bottom w:w="100" w:type="dxa"/>
              <w:end w:w="120" w:type="dxa"/>
            </w:tcMar>
          </w:tcPr>
          <w:p>
            <w:pPr>
              <w:spacing w:after="0" w:line="259" w:lineRule="auto"/>
              <w:jc w:val="left"/>
            </w:pPr>
            <w:r>
              <w:rPr>
                <w:rFonts w:ascii="Calibri" w:hAnsi="Calibri"/>
                <w:color w:val="16182D"/>
                <w:sz w:val="17"/>
              </w:rPr>
              <w:t>RAG plus deterministic ranking and business rules.</w:t>
            </w:r>
          </w:p>
        </w:tc>
      </w:tr>
      <w:tr>
        <w:tc>
          <w:tcPr>
            <w:tcW w:type="dxa" w:w="25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Who verifies catalog truth?</w:t>
            </w:r>
          </w:p>
        </w:tc>
        <w:tc>
          <w:tcPr>
            <w:tcW w:type="dxa" w:w="686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The read-only MCP/SQL verification boundary.</w:t>
            </w:r>
          </w:p>
        </w:tc>
      </w:tr>
      <w:tr>
        <w:tc>
          <w:tcPr>
            <w:tcW w:type="dxa" w:w="2500"/>
            <w:vAlign w:val="center"/>
            <w:tcMar>
              <w:top w:w="100" w:type="dxa"/>
              <w:start w:w="120" w:type="dxa"/>
              <w:bottom w:w="100" w:type="dxa"/>
              <w:end w:w="120" w:type="dxa"/>
            </w:tcMar>
          </w:tcPr>
          <w:p>
            <w:pPr>
              <w:spacing w:after="0" w:line="259" w:lineRule="auto"/>
              <w:jc w:val="left"/>
            </w:pPr>
            <w:r>
              <w:rPr>
                <w:rFonts w:ascii="Calibri" w:hAnsi="Calibri"/>
                <w:color w:val="16182D"/>
                <w:sz w:val="17"/>
              </w:rPr>
              <w:t>What does the LLM do?</w:t>
            </w:r>
          </w:p>
        </w:tc>
        <w:tc>
          <w:tcPr>
            <w:tcW w:type="dxa" w:w="6860"/>
            <w:vAlign w:val="center"/>
            <w:tcMar>
              <w:top w:w="100" w:type="dxa"/>
              <w:start w:w="120" w:type="dxa"/>
              <w:bottom w:w="100" w:type="dxa"/>
              <w:end w:w="120" w:type="dxa"/>
            </w:tcMar>
          </w:tcPr>
          <w:p>
            <w:pPr>
              <w:spacing w:after="0" w:line="259" w:lineRule="auto"/>
              <w:jc w:val="left"/>
            </w:pPr>
            <w:r>
              <w:rPr>
                <w:rFonts w:ascii="Calibri" w:hAnsi="Calibri"/>
                <w:color w:val="16182D"/>
                <w:sz w:val="17"/>
              </w:rPr>
              <w:t>Writes grounded learner-facing narrative and item reasons.</w:t>
            </w:r>
          </w:p>
        </w:tc>
      </w:tr>
      <w:tr>
        <w:tc>
          <w:tcPr>
            <w:tcW w:type="dxa" w:w="25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What does LangGraph do?</w:t>
            </w:r>
          </w:p>
        </w:tc>
        <w:tc>
          <w:tcPr>
            <w:tcW w:type="dxa" w:w="686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Controls explicit nodes, edges, conditional validation, fallback, status, and observability.</w:t>
            </w:r>
          </w:p>
        </w:tc>
      </w:tr>
      <w:tr>
        <w:tc>
          <w:tcPr>
            <w:tcW w:type="dxa" w:w="2500"/>
            <w:vAlign w:val="center"/>
            <w:tcMar>
              <w:top w:w="100" w:type="dxa"/>
              <w:start w:w="120" w:type="dxa"/>
              <w:bottom w:w="100" w:type="dxa"/>
              <w:end w:w="120" w:type="dxa"/>
            </w:tcMar>
          </w:tcPr>
          <w:p>
            <w:pPr>
              <w:spacing w:after="0" w:line="259" w:lineRule="auto"/>
              <w:jc w:val="left"/>
            </w:pPr>
            <w:r>
              <w:rPr>
                <w:rFonts w:ascii="Calibri" w:hAnsi="Calibri"/>
                <w:color w:val="16182D"/>
                <w:sz w:val="17"/>
              </w:rPr>
              <w:t>Why is this a recommender, not a course suggester?</w:t>
            </w:r>
          </w:p>
        </w:tc>
        <w:tc>
          <w:tcPr>
            <w:tcW w:type="dxa" w:w="6860"/>
            <w:vAlign w:val="center"/>
            <w:tcMar>
              <w:top w:w="100" w:type="dxa"/>
              <w:start w:w="120" w:type="dxa"/>
              <w:bottom w:w="100" w:type="dxa"/>
              <w:end w:w="120" w:type="dxa"/>
            </w:tcMar>
          </w:tcPr>
          <w:p>
            <w:pPr>
              <w:spacing w:after="0" w:line="259" w:lineRule="auto"/>
              <w:jc w:val="left"/>
            </w:pPr>
            <w:r>
              <w:rPr>
                <w:rFonts w:ascii="Calibri" w:hAnsi="Calibri"/>
                <w:color w:val="16182D"/>
                <w:sz w:val="17"/>
              </w:rPr>
              <w:t>Selections depend on user-specific multi-event behavior, temporal decay, exclusions, semantic retrieval, ranking scores, feedback, and stored refresh cycles.</w:t>
            </w:r>
          </w:p>
        </w:tc>
      </w:tr>
    </w:tbl>
    <w:p>
      <w:pPr>
        <w:spacing w:after="0"/>
      </w:pPr>
    </w:p>
    <w:p>
      <w:pPr>
        <w:pStyle w:val="Heading1"/>
        <w:keepNext/>
      </w:pPr>
      <w:r>
        <w:t>Appendix A - Implementation source map</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shd w:fill="5445D6"/>
            <w:vAlign w:val="center"/>
            <w:tcMar>
              <w:top w:w="100" w:type="dxa"/>
              <w:start w:w="120" w:type="dxa"/>
              <w:bottom w:w="100" w:type="dxa"/>
              <w:end w:w="120" w:type="dxa"/>
            </w:tcMar>
          </w:tcPr>
          <w:p>
            <w:pPr>
              <w:spacing w:after="0"/>
              <w:jc w:val="left"/>
            </w:pPr>
            <w:r>
              <w:rPr>
                <w:rFonts w:ascii="Calibri" w:hAnsi="Calibri"/>
                <w:b/>
                <w:color w:val="FFFFFF"/>
                <w:sz w:val="17"/>
              </w:rPr>
              <w:t>Concern</w:t>
            </w:r>
          </w:p>
        </w:tc>
        <w:tc>
          <w:tcPr>
            <w:tcW w:type="dxa" w:w="5960"/>
            <w:shd w:fill="5445D6"/>
            <w:vAlign w:val="center"/>
            <w:tcMar>
              <w:top w:w="100" w:type="dxa"/>
              <w:start w:w="120" w:type="dxa"/>
              <w:bottom w:w="100" w:type="dxa"/>
              <w:end w:w="120" w:type="dxa"/>
            </w:tcMar>
          </w:tcPr>
          <w:p>
            <w:pPr>
              <w:spacing w:after="0"/>
              <w:jc w:val="center"/>
            </w:pPr>
            <w:r>
              <w:rPr>
                <w:rFonts w:ascii="Calibri" w:hAnsi="Calibri"/>
                <w:b/>
                <w:color w:val="FFFFFF"/>
                <w:sz w:val="17"/>
              </w:rPr>
              <w:t>Primary implementation</w:t>
            </w:r>
          </w:p>
        </w:tc>
      </w:tr>
      <w:tr>
        <w:tc>
          <w:tcPr>
            <w:tcW w:type="dxa" w:w="3400"/>
            <w:vAlign w:val="center"/>
            <w:tcMar>
              <w:top w:w="100" w:type="dxa"/>
              <w:start w:w="120" w:type="dxa"/>
              <w:bottom w:w="100" w:type="dxa"/>
              <w:end w:w="120" w:type="dxa"/>
            </w:tcMar>
          </w:tcPr>
          <w:p>
            <w:pPr>
              <w:spacing w:after="0" w:line="259" w:lineRule="auto"/>
              <w:jc w:val="left"/>
            </w:pPr>
            <w:r>
              <w:rPr>
                <w:rFonts w:ascii="Calibri" w:hAnsi="Calibri"/>
                <w:color w:val="16182D"/>
                <w:sz w:val="17"/>
              </w:rPr>
              <w:t>Browser event batching and dwell</w:t>
            </w:r>
          </w:p>
        </w:tc>
        <w:tc>
          <w:tcPr>
            <w:tcW w:type="dxa" w:w="5960"/>
            <w:vAlign w:val="center"/>
            <w:tcMar>
              <w:top w:w="100" w:type="dxa"/>
              <w:start w:w="120" w:type="dxa"/>
              <w:bottom w:w="100" w:type="dxa"/>
              <w:end w:w="120" w:type="dxa"/>
            </w:tcMar>
          </w:tcPr>
          <w:p>
            <w:pPr>
              <w:spacing w:after="0" w:line="259" w:lineRule="auto"/>
              <w:jc w:val="left"/>
            </w:pPr>
            <w:r>
              <w:rPr>
                <w:rFonts w:ascii="Calibri" w:hAnsi="Calibri"/>
                <w:color w:val="16182D"/>
                <w:sz w:val="17"/>
              </w:rPr>
              <w:t>app/static/js/tracker.js</w:t>
            </w:r>
          </w:p>
        </w:tc>
      </w:tr>
      <w:tr>
        <w:tc>
          <w:tcPr>
            <w:tcW w:type="dxa" w:w="34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Event ingestion and learner routes</w:t>
            </w:r>
          </w:p>
        </w:tc>
        <w:tc>
          <w:tcPr>
            <w:tcW w:type="dxa" w:w="596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7"/>
              </w:rPr>
              <w:t>app/routes.py</w:t>
            </w:r>
          </w:p>
        </w:tc>
      </w:tr>
      <w:tr>
        <w:tc>
          <w:tcPr>
            <w:tcW w:type="dxa" w:w="3400"/>
            <w:vAlign w:val="center"/>
            <w:tcMar>
              <w:top w:w="100" w:type="dxa"/>
              <w:start w:w="120" w:type="dxa"/>
              <w:bottom w:w="100" w:type="dxa"/>
              <w:end w:w="120" w:type="dxa"/>
            </w:tcMar>
          </w:tcPr>
          <w:p>
            <w:pPr>
              <w:spacing w:after="0" w:line="259" w:lineRule="auto"/>
              <w:jc w:val="left"/>
            </w:pPr>
            <w:r>
              <w:rPr>
                <w:rFonts w:ascii="Calibri" w:hAnsi="Calibri"/>
                <w:color w:val="16182D"/>
                <w:sz w:val="17"/>
              </w:rPr>
              <w:t>Signal rules, 72-hour decay, profile</w:t>
            </w:r>
          </w:p>
        </w:tc>
        <w:tc>
          <w:tcPr>
            <w:tcW w:type="dxa" w:w="5960"/>
            <w:vAlign w:val="center"/>
            <w:tcMar>
              <w:top w:w="100" w:type="dxa"/>
              <w:start w:w="120" w:type="dxa"/>
              <w:bottom w:w="100" w:type="dxa"/>
              <w:end w:w="120" w:type="dxa"/>
            </w:tcMar>
          </w:tcPr>
          <w:p>
            <w:pPr>
              <w:spacing w:after="0" w:line="259" w:lineRule="auto"/>
              <w:jc w:val="left"/>
            </w:pPr>
            <w:r>
              <w:rPr>
                <w:rFonts w:ascii="Calibri" w:hAnsi="Calibri"/>
                <w:color w:val="16182D"/>
                <w:sz w:val="17"/>
              </w:rPr>
              <w:t>app/services/signals.py</w:t>
            </w:r>
          </w:p>
        </w:tc>
      </w:tr>
      <w:tr>
        <w:tc>
          <w:tcPr>
            <w:tcW w:type="dxa" w:w="34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Overall/contextual retrieval and LangGraph</w:t>
            </w:r>
          </w:p>
        </w:tc>
        <w:tc>
          <w:tcPr>
            <w:tcW w:type="dxa" w:w="596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app/services/recommendation.py</w:t>
            </w:r>
          </w:p>
        </w:tc>
      </w:tr>
      <w:tr>
        <w:tc>
          <w:tcPr>
            <w:tcW w:type="dxa" w:w="3400"/>
            <w:vAlign w:val="center"/>
            <w:tcMar>
              <w:top w:w="100" w:type="dxa"/>
              <w:start w:w="120" w:type="dxa"/>
              <w:bottom w:w="100" w:type="dxa"/>
              <w:end w:w="120" w:type="dxa"/>
            </w:tcMar>
          </w:tcPr>
          <w:p>
            <w:pPr>
              <w:spacing w:after="0" w:line="259" w:lineRule="auto"/>
              <w:jc w:val="left"/>
            </w:pPr>
            <w:r>
              <w:rPr>
                <w:rFonts w:ascii="Calibri" w:hAnsi="Calibri"/>
                <w:color w:val="16182D"/>
                <w:sz w:val="17"/>
              </w:rPr>
              <w:t>Mesh prompts, LLM, embedding fallback</w:t>
            </w:r>
          </w:p>
        </w:tc>
        <w:tc>
          <w:tcPr>
            <w:tcW w:type="dxa" w:w="5960"/>
            <w:vAlign w:val="center"/>
            <w:tcMar>
              <w:top w:w="100" w:type="dxa"/>
              <w:start w:w="120" w:type="dxa"/>
              <w:bottom w:w="100" w:type="dxa"/>
              <w:end w:w="120" w:type="dxa"/>
            </w:tcMar>
          </w:tcPr>
          <w:p>
            <w:pPr>
              <w:spacing w:after="0" w:line="259" w:lineRule="auto"/>
              <w:jc w:val="left"/>
            </w:pPr>
            <w:r>
              <w:rPr>
                <w:rFonts w:ascii="Calibri" w:hAnsi="Calibri"/>
                <w:color w:val="16182D"/>
                <w:sz w:val="17"/>
              </w:rPr>
              <w:t>app/services/mesh.py</w:t>
            </w:r>
          </w:p>
        </w:tc>
      </w:tr>
      <w:tr>
        <w:tc>
          <w:tcPr>
            <w:tcW w:type="dxa" w:w="34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Read-only MCP tools</w:t>
            </w:r>
          </w:p>
        </w:tc>
        <w:tc>
          <w:tcPr>
            <w:tcW w:type="dxa" w:w="596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app/mcp_server.py and app/services/mcp_catalog.py</w:t>
            </w:r>
          </w:p>
        </w:tc>
      </w:tr>
      <w:tr>
        <w:tc>
          <w:tcPr>
            <w:tcW w:type="dxa" w:w="3400"/>
            <w:vAlign w:val="center"/>
            <w:tcMar>
              <w:top w:w="100" w:type="dxa"/>
              <w:start w:w="120" w:type="dxa"/>
              <w:bottom w:w="100" w:type="dxa"/>
              <w:end w:w="120" w:type="dxa"/>
            </w:tcMar>
          </w:tcPr>
          <w:p>
            <w:pPr>
              <w:spacing w:after="0" w:line="259" w:lineRule="auto"/>
              <w:jc w:val="left"/>
            </w:pPr>
            <w:r>
              <w:rPr>
                <w:rFonts w:ascii="Calibri" w:hAnsi="Calibri"/>
                <w:color w:val="16182D"/>
                <w:sz w:val="17"/>
              </w:rPr>
              <w:t>Vector synchronization and search</w:t>
            </w:r>
          </w:p>
        </w:tc>
        <w:tc>
          <w:tcPr>
            <w:tcW w:type="dxa" w:w="5960"/>
            <w:vAlign w:val="center"/>
            <w:tcMar>
              <w:top w:w="100" w:type="dxa"/>
              <w:start w:w="120" w:type="dxa"/>
              <w:bottom w:w="100" w:type="dxa"/>
              <w:end w:w="120" w:type="dxa"/>
            </w:tcMar>
          </w:tcPr>
          <w:p>
            <w:pPr>
              <w:spacing w:after="0" w:line="259" w:lineRule="auto"/>
              <w:jc w:val="left"/>
            </w:pPr>
            <w:r>
              <w:rPr>
                <w:rFonts w:ascii="Calibri" w:hAnsi="Calibri"/>
                <w:color w:val="16182D"/>
                <w:sz w:val="17"/>
              </w:rPr>
              <w:t>app/services/vector_store.py</w:t>
            </w:r>
          </w:p>
        </w:tc>
      </w:tr>
      <w:tr>
        <w:tc>
          <w:tcPr>
            <w:tcW w:type="dxa" w:w="34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Durable schema</w:t>
            </w:r>
          </w:p>
        </w:tc>
        <w:tc>
          <w:tcPr>
            <w:tcW w:type="dxa" w:w="596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7"/>
              </w:rPr>
              <w:t>app/models.py</w:t>
            </w:r>
          </w:p>
        </w:tc>
      </w:tr>
      <w:tr>
        <w:tc>
          <w:tcPr>
            <w:tcW w:type="dxa" w:w="3400"/>
            <w:vAlign w:val="center"/>
            <w:tcMar>
              <w:top w:w="100" w:type="dxa"/>
              <w:start w:w="120" w:type="dxa"/>
              <w:bottom w:w="100" w:type="dxa"/>
              <w:end w:w="120" w:type="dxa"/>
            </w:tcMar>
          </w:tcPr>
          <w:p>
            <w:pPr>
              <w:spacing w:after="0" w:line="259" w:lineRule="auto"/>
              <w:jc w:val="left"/>
            </w:pPr>
            <w:r>
              <w:rPr>
                <w:rFonts w:ascii="Calibri" w:hAnsi="Calibri"/>
                <w:color w:val="16182D"/>
                <w:sz w:val="17"/>
              </w:rPr>
              <w:t>Local telemetry and LangSmith correlation</w:t>
            </w:r>
          </w:p>
        </w:tc>
        <w:tc>
          <w:tcPr>
            <w:tcW w:type="dxa" w:w="5960"/>
            <w:vAlign w:val="center"/>
            <w:tcMar>
              <w:top w:w="100" w:type="dxa"/>
              <w:start w:w="120" w:type="dxa"/>
              <w:bottom w:w="100" w:type="dxa"/>
              <w:end w:w="120" w:type="dxa"/>
            </w:tcMar>
          </w:tcPr>
          <w:p>
            <w:pPr>
              <w:spacing w:after="0" w:line="259" w:lineRule="auto"/>
              <w:jc w:val="left"/>
            </w:pPr>
            <w:r>
              <w:rPr>
                <w:rFonts w:ascii="Calibri" w:hAnsi="Calibri"/>
                <w:color w:val="16182D"/>
                <w:sz w:val="17"/>
              </w:rPr>
              <w:t>app/services/observability.py and app/services/langsmith_reconciliation.py</w:t>
            </w:r>
          </w:p>
        </w:tc>
      </w:tr>
      <w:tr>
        <w:tc>
          <w:tcPr>
            <w:tcW w:type="dxa" w:w="34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Runtime settings</w:t>
            </w:r>
          </w:p>
        </w:tc>
        <w:tc>
          <w:tcPr>
            <w:tcW w:type="dxa" w:w="596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7"/>
              </w:rPr>
              <w:t>app/config.py and .env</w:t>
            </w:r>
          </w:p>
        </w:tc>
      </w:tr>
    </w:tbl>
    <w:p>
      <w:pPr>
        <w:spacing w:after="0"/>
      </w:pPr>
    </w:p>
    <w:p>
      <w:pPr>
        <w:pStyle w:val="Heading1"/>
        <w:keepNext/>
      </w:pPr>
      <w:r>
        <w:t>Appendix B - Configuration values documented here</w:t>
      </w:r>
    </w:p>
    <w:tbl>
      <w:tblPr>
        <w:tblStyle w:val="TableGrid"/>
        <w:tblW w:type="dxa" w:w="9360"/>
        <w:jc w:val="left"/>
        <w:tblLayout w:type="fixed"/>
        <w:tblLook w:firstColumn="1" w:firstRow="1" w:lastColumn="0" w:lastRow="0" w:noHBand="0" w:noVBand="1" w:val="04A0"/>
        <w:tblInd w:w="120" w:type="dxa"/>
      </w:tblPr>
      <w:tblGrid>
        <w:gridCol w:w="3100"/>
        <w:gridCol w:w="1800"/>
        <w:gridCol w:w="4460"/>
      </w:tblGrid>
      <w:tr>
        <w:trPr>
          <w:tblHeader w:val="true"/>
        </w:trPr>
        <w:tc>
          <w:tcPr>
            <w:tcW w:type="dxa" w:w="3100"/>
            <w:shd w:fill="5445D6"/>
            <w:vAlign w:val="center"/>
            <w:tcMar>
              <w:top w:w="100" w:type="dxa"/>
              <w:start w:w="120" w:type="dxa"/>
              <w:bottom w:w="100" w:type="dxa"/>
              <w:end w:w="120" w:type="dxa"/>
            </w:tcMar>
          </w:tcPr>
          <w:p>
            <w:pPr>
              <w:spacing w:after="0"/>
              <w:jc w:val="left"/>
            </w:pPr>
            <w:r>
              <w:rPr>
                <w:rFonts w:ascii="Calibri" w:hAnsi="Calibri"/>
                <w:b/>
                <w:color w:val="FFFFFF"/>
                <w:sz w:val="17"/>
              </w:rPr>
              <w:t>Setting</w:t>
            </w:r>
          </w:p>
        </w:tc>
        <w:tc>
          <w:tcPr>
            <w:tcW w:type="dxa" w:w="1800"/>
            <w:shd w:fill="5445D6"/>
            <w:vAlign w:val="center"/>
            <w:tcMar>
              <w:top w:w="100" w:type="dxa"/>
              <w:start w:w="120" w:type="dxa"/>
              <w:bottom w:w="100" w:type="dxa"/>
              <w:end w:w="120" w:type="dxa"/>
            </w:tcMar>
          </w:tcPr>
          <w:p>
            <w:pPr>
              <w:spacing w:after="0"/>
              <w:jc w:val="center"/>
            </w:pPr>
            <w:r>
              <w:rPr>
                <w:rFonts w:ascii="Calibri" w:hAnsi="Calibri"/>
                <w:b/>
                <w:color w:val="FFFFFF"/>
                <w:sz w:val="17"/>
              </w:rPr>
              <w:t>Current value</w:t>
            </w:r>
          </w:p>
        </w:tc>
        <w:tc>
          <w:tcPr>
            <w:tcW w:type="dxa" w:w="4460"/>
            <w:shd w:fill="5445D6"/>
            <w:vAlign w:val="center"/>
            <w:tcMar>
              <w:top w:w="100" w:type="dxa"/>
              <w:start w:w="120" w:type="dxa"/>
              <w:bottom w:w="100" w:type="dxa"/>
              <w:end w:w="120" w:type="dxa"/>
            </w:tcMar>
          </w:tcPr>
          <w:p>
            <w:pPr>
              <w:spacing w:after="0"/>
              <w:jc w:val="center"/>
            </w:pPr>
            <w:r>
              <w:rPr>
                <w:rFonts w:ascii="Calibri" w:hAnsi="Calibri"/>
                <w:b/>
                <w:color w:val="FFFFFF"/>
                <w:sz w:val="17"/>
              </w:rPr>
              <w:t>Purpose</w:t>
            </w:r>
          </w:p>
        </w:tc>
      </w:tr>
      <w:tr>
        <w:tc>
          <w:tcPr>
            <w:tcW w:type="dxa" w:w="3100"/>
            <w:vAlign w:val="center"/>
            <w:tcMar>
              <w:top w:w="100" w:type="dxa"/>
              <w:start w:w="120" w:type="dxa"/>
              <w:bottom w:w="100" w:type="dxa"/>
              <w:end w:w="120" w:type="dxa"/>
            </w:tcMar>
          </w:tcPr>
          <w:p>
            <w:pPr>
              <w:spacing w:after="0" w:line="259" w:lineRule="auto"/>
              <w:jc w:val="left"/>
            </w:pPr>
            <w:r>
              <w:rPr>
                <w:rFonts w:ascii="Calibri" w:hAnsi="Calibri"/>
                <w:color w:val="16182D"/>
                <w:sz w:val="16"/>
              </w:rPr>
              <w:t>recommendation_min_trigger_score</w:t>
            </w:r>
          </w:p>
        </w:tc>
        <w:tc>
          <w:tcPr>
            <w:tcW w:type="dxa" w:w="1800"/>
            <w:vAlign w:val="center"/>
            <w:tcMar>
              <w:top w:w="100" w:type="dxa"/>
              <w:start w:w="120" w:type="dxa"/>
              <w:bottom w:w="100" w:type="dxa"/>
              <w:end w:w="120" w:type="dxa"/>
            </w:tcMar>
          </w:tcPr>
          <w:p>
            <w:pPr>
              <w:spacing w:after="0" w:line="259" w:lineRule="auto"/>
              <w:jc w:val="center"/>
            </w:pPr>
            <w:r>
              <w:rPr>
                <w:rFonts w:ascii="Calibri" w:hAnsi="Calibri"/>
                <w:color w:val="16182D"/>
                <w:sz w:val="16"/>
              </w:rPr>
              <w:t>8.0</w:t>
            </w:r>
          </w:p>
        </w:tc>
        <w:tc>
          <w:tcPr>
            <w:tcW w:type="dxa" w:w="4460"/>
            <w:vAlign w:val="center"/>
            <w:tcMar>
              <w:top w:w="100" w:type="dxa"/>
              <w:start w:w="120" w:type="dxa"/>
              <w:bottom w:w="100" w:type="dxa"/>
              <w:end w:w="120" w:type="dxa"/>
            </w:tcMar>
          </w:tcPr>
          <w:p>
            <w:pPr>
              <w:spacing w:after="0" w:line="259" w:lineRule="auto"/>
              <w:jc w:val="left"/>
            </w:pPr>
            <w:r>
              <w:rPr>
                <w:rFonts w:ascii="Calibri" w:hAnsi="Calibri"/>
                <w:color w:val="16182D"/>
                <w:sz w:val="16"/>
              </w:rPr>
              <w:t>Overall refresh threshold</w:t>
            </w:r>
          </w:p>
        </w:tc>
      </w:tr>
      <w:tr>
        <w:tc>
          <w:tcPr>
            <w:tcW w:type="dxa" w:w="31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recommendation_cooldown_seconds</w:t>
            </w:r>
          </w:p>
        </w:tc>
        <w:tc>
          <w:tcPr>
            <w:tcW w:type="dxa" w:w="18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6"/>
              </w:rPr>
              <w:t>20</w:t>
            </w:r>
          </w:p>
        </w:tc>
        <w:tc>
          <w:tcPr>
            <w:tcW w:type="dxa" w:w="446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Prevent rapid duplicate overall calls</w:t>
            </w:r>
          </w:p>
        </w:tc>
      </w:tr>
      <w:tr>
        <w:tc>
          <w:tcPr>
            <w:tcW w:type="dxa" w:w="3100"/>
            <w:vAlign w:val="center"/>
            <w:tcMar>
              <w:top w:w="100" w:type="dxa"/>
              <w:start w:w="120" w:type="dxa"/>
              <w:bottom w:w="100" w:type="dxa"/>
              <w:end w:w="120" w:type="dxa"/>
            </w:tcMar>
          </w:tcPr>
          <w:p>
            <w:pPr>
              <w:spacing w:after="0" w:line="259" w:lineRule="auto"/>
              <w:jc w:val="left"/>
            </w:pPr>
            <w:r>
              <w:rPr>
                <w:rFonts w:ascii="Calibri" w:hAnsi="Calibri"/>
                <w:color w:val="16182D"/>
                <w:sz w:val="16"/>
              </w:rPr>
              <w:t>signal profile limit</w:t>
            </w:r>
          </w:p>
        </w:tc>
        <w:tc>
          <w:tcPr>
            <w:tcW w:type="dxa" w:w="1800"/>
            <w:vAlign w:val="center"/>
            <w:tcMar>
              <w:top w:w="100" w:type="dxa"/>
              <w:start w:w="120" w:type="dxa"/>
              <w:bottom w:w="100" w:type="dxa"/>
              <w:end w:w="120" w:type="dxa"/>
            </w:tcMar>
          </w:tcPr>
          <w:p>
            <w:pPr>
              <w:spacing w:after="0" w:line="259" w:lineRule="auto"/>
              <w:jc w:val="center"/>
            </w:pPr>
            <w:r>
              <w:rPr>
                <w:rFonts w:ascii="Calibri" w:hAnsi="Calibri"/>
                <w:color w:val="16182D"/>
                <w:sz w:val="16"/>
              </w:rPr>
              <w:t>500 latest</w:t>
            </w:r>
          </w:p>
        </w:tc>
        <w:tc>
          <w:tcPr>
            <w:tcW w:type="dxa" w:w="4460"/>
            <w:vAlign w:val="center"/>
            <w:tcMar>
              <w:top w:w="100" w:type="dxa"/>
              <w:start w:w="120" w:type="dxa"/>
              <w:bottom w:w="100" w:type="dxa"/>
              <w:end w:w="120" w:type="dxa"/>
            </w:tcMar>
          </w:tcPr>
          <w:p>
            <w:pPr>
              <w:spacing w:after="0" w:line="259" w:lineRule="auto"/>
              <w:jc w:val="left"/>
            </w:pPr>
            <w:r>
              <w:rPr>
                <w:rFonts w:ascii="Calibri" w:hAnsi="Calibri"/>
                <w:color w:val="16182D"/>
                <w:sz w:val="16"/>
              </w:rPr>
              <w:t>Upper bound per profile rebuild</w:t>
            </w:r>
          </w:p>
        </w:tc>
      </w:tr>
      <w:tr>
        <w:tc>
          <w:tcPr>
            <w:tcW w:type="dxa" w:w="31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recency half-life</w:t>
            </w:r>
          </w:p>
        </w:tc>
        <w:tc>
          <w:tcPr>
            <w:tcW w:type="dxa" w:w="18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6"/>
              </w:rPr>
              <w:t>72 hours</w:t>
            </w:r>
          </w:p>
        </w:tc>
        <w:tc>
          <w:tcPr>
            <w:tcW w:type="dxa" w:w="446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Old interests decay gradually</w:t>
            </w:r>
          </w:p>
        </w:tc>
      </w:tr>
      <w:tr>
        <w:tc>
          <w:tcPr>
            <w:tcW w:type="dxa" w:w="3100"/>
            <w:vAlign w:val="center"/>
            <w:tcMar>
              <w:top w:w="100" w:type="dxa"/>
              <w:start w:w="120" w:type="dxa"/>
              <w:bottom w:w="100" w:type="dxa"/>
              <w:end w:w="120" w:type="dxa"/>
            </w:tcMar>
          </w:tcPr>
          <w:p>
            <w:pPr>
              <w:spacing w:after="0" w:line="259" w:lineRule="auto"/>
              <w:jc w:val="left"/>
            </w:pPr>
            <w:r>
              <w:rPr>
                <w:rFonts w:ascii="Calibri" w:hAnsi="Calibri"/>
                <w:color w:val="16182D"/>
                <w:sz w:val="16"/>
              </w:rPr>
              <w:t>nominal signal expiry</w:t>
            </w:r>
          </w:p>
        </w:tc>
        <w:tc>
          <w:tcPr>
            <w:tcW w:type="dxa" w:w="1800"/>
            <w:vAlign w:val="center"/>
            <w:tcMar>
              <w:top w:w="100" w:type="dxa"/>
              <w:start w:w="120" w:type="dxa"/>
              <w:bottom w:w="100" w:type="dxa"/>
              <w:end w:w="120" w:type="dxa"/>
            </w:tcMar>
          </w:tcPr>
          <w:p>
            <w:pPr>
              <w:spacing w:after="0" w:line="259" w:lineRule="auto"/>
              <w:jc w:val="center"/>
            </w:pPr>
            <w:r>
              <w:rPr>
                <w:rFonts w:ascii="Calibri" w:hAnsi="Calibri"/>
                <w:color w:val="16182D"/>
                <w:sz w:val="16"/>
              </w:rPr>
              <w:t>30 days</w:t>
            </w:r>
          </w:p>
        </w:tc>
        <w:tc>
          <w:tcPr>
            <w:tcW w:type="dxa" w:w="4460"/>
            <w:vAlign w:val="center"/>
            <w:tcMar>
              <w:top w:w="100" w:type="dxa"/>
              <w:start w:w="120" w:type="dxa"/>
              <w:bottom w:w="100" w:type="dxa"/>
              <w:end w:w="120" w:type="dxa"/>
            </w:tcMar>
          </w:tcPr>
          <w:p>
            <w:pPr>
              <w:spacing w:after="0" w:line="259" w:lineRule="auto"/>
              <w:jc w:val="left"/>
            </w:pPr>
            <w:r>
              <w:rPr>
                <w:rFonts w:ascii="Calibri" w:hAnsi="Calibri"/>
                <w:color w:val="16182D"/>
                <w:sz w:val="16"/>
              </w:rPr>
              <w:t>Assigned but not yet enforced in profile query</w:t>
            </w:r>
          </w:p>
        </w:tc>
      </w:tr>
      <w:tr>
        <w:tc>
          <w:tcPr>
            <w:tcW w:type="dxa" w:w="31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recent search limit</w:t>
            </w:r>
          </w:p>
        </w:tc>
        <w:tc>
          <w:tcPr>
            <w:tcW w:type="dxa" w:w="18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10 stored / 5 prompted</w:t>
            </w:r>
          </w:p>
        </w:tc>
        <w:tc>
          <w:tcPr>
            <w:tcW w:type="dxa" w:w="446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Current intent evidence</w:t>
            </w:r>
          </w:p>
        </w:tc>
      </w:tr>
      <w:tr>
        <w:tc>
          <w:tcPr>
            <w:tcW w:type="dxa" w:w="3100"/>
            <w:vAlign w:val="center"/>
            <w:tcMar>
              <w:top w:w="100" w:type="dxa"/>
              <w:start w:w="120" w:type="dxa"/>
              <w:bottom w:w="100" w:type="dxa"/>
              <w:end w:w="120" w:type="dxa"/>
            </w:tcMar>
          </w:tcPr>
          <w:p>
            <w:pPr>
              <w:spacing w:after="0" w:line="259" w:lineRule="auto"/>
              <w:jc w:val="left"/>
            </w:pPr>
            <w:r>
              <w:rPr>
                <w:rFonts w:ascii="Calibri" w:hAnsi="Calibri"/>
                <w:color w:val="16182D"/>
                <w:sz w:val="16"/>
              </w:rPr>
              <w:t>overall semantic candidate limit</w:t>
            </w:r>
          </w:p>
        </w:tc>
        <w:tc>
          <w:tcPr>
            <w:tcW w:type="dxa" w:w="1800"/>
            <w:vAlign w:val="center"/>
            <w:tcMar>
              <w:top w:w="100" w:type="dxa"/>
              <w:start w:w="120" w:type="dxa"/>
              <w:bottom w:w="100" w:type="dxa"/>
              <w:end w:w="120" w:type="dxa"/>
            </w:tcMar>
          </w:tcPr>
          <w:p>
            <w:pPr>
              <w:spacing w:after="0" w:line="259" w:lineRule="auto"/>
              <w:jc w:val="center"/>
            </w:pPr>
            <w:r>
              <w:rPr>
                <w:rFonts w:ascii="Calibri" w:hAnsi="Calibri"/>
                <w:color w:val="16182D"/>
                <w:sz w:val="16"/>
              </w:rPr>
              <w:t>40</w:t>
            </w:r>
          </w:p>
        </w:tc>
        <w:tc>
          <w:tcPr>
            <w:tcW w:type="dxa" w:w="4460"/>
            <w:vAlign w:val="center"/>
            <w:tcMar>
              <w:top w:w="100" w:type="dxa"/>
              <w:start w:w="120" w:type="dxa"/>
              <w:bottom w:w="100" w:type="dxa"/>
              <w:end w:w="120" w:type="dxa"/>
            </w:tcMar>
          </w:tcPr>
          <w:p>
            <w:pPr>
              <w:spacing w:after="0" w:line="259" w:lineRule="auto"/>
              <w:jc w:val="left"/>
            </w:pPr>
            <w:r>
              <w:rPr>
                <w:rFonts w:ascii="Calibri" w:hAnsi="Calibri"/>
                <w:color w:val="16182D"/>
                <w:sz w:val="16"/>
              </w:rPr>
              <w:t>RAG candidate pool</w:t>
            </w:r>
          </w:p>
        </w:tc>
      </w:tr>
      <w:tr>
        <w:tc>
          <w:tcPr>
            <w:tcW w:type="dxa" w:w="31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learner-facing output</w:t>
            </w:r>
          </w:p>
        </w:tc>
        <w:tc>
          <w:tcPr>
            <w:tcW w:type="dxa" w:w="18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6"/>
              </w:rPr>
              <w:t>Up to 3 courses</w:t>
            </w:r>
          </w:p>
        </w:tc>
        <w:tc>
          <w:tcPr>
            <w:tcW w:type="dxa" w:w="446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Concise recommendation panel</w:t>
            </w:r>
          </w:p>
        </w:tc>
      </w:tr>
      <w:tr>
        <w:tc>
          <w:tcPr>
            <w:tcW w:type="dxa" w:w="3100"/>
            <w:vAlign w:val="center"/>
            <w:tcMar>
              <w:top w:w="100" w:type="dxa"/>
              <w:start w:w="120" w:type="dxa"/>
              <w:bottom w:w="100" w:type="dxa"/>
              <w:end w:w="120" w:type="dxa"/>
            </w:tcMar>
          </w:tcPr>
          <w:p>
            <w:pPr>
              <w:spacing w:after="0" w:line="259" w:lineRule="auto"/>
              <w:jc w:val="left"/>
            </w:pPr>
            <w:r>
              <w:rPr>
                <w:rFonts w:ascii="Calibri" w:hAnsi="Calibri"/>
                <w:color w:val="16182D"/>
                <w:sz w:val="16"/>
              </w:rPr>
              <w:t>contextual LLM timeout</w:t>
            </w:r>
          </w:p>
        </w:tc>
        <w:tc>
          <w:tcPr>
            <w:tcW w:type="dxa" w:w="1800"/>
            <w:vAlign w:val="center"/>
            <w:tcMar>
              <w:top w:w="100" w:type="dxa"/>
              <w:start w:w="120" w:type="dxa"/>
              <w:bottom w:w="100" w:type="dxa"/>
              <w:end w:w="120" w:type="dxa"/>
            </w:tcMar>
          </w:tcPr>
          <w:p>
            <w:pPr>
              <w:spacing w:after="0" w:line="259" w:lineRule="auto"/>
              <w:jc w:val="center"/>
            </w:pPr>
            <w:r>
              <w:rPr>
                <w:rFonts w:ascii="Calibri" w:hAnsi="Calibri"/>
                <w:color w:val="16182D"/>
                <w:sz w:val="16"/>
              </w:rPr>
              <w:t>25 seconds</w:t>
            </w:r>
          </w:p>
        </w:tc>
        <w:tc>
          <w:tcPr>
            <w:tcW w:type="dxa" w:w="4460"/>
            <w:vAlign w:val="center"/>
            <w:tcMar>
              <w:top w:w="100" w:type="dxa"/>
              <w:start w:w="120" w:type="dxa"/>
              <w:bottom w:w="100" w:type="dxa"/>
              <w:end w:w="120" w:type="dxa"/>
            </w:tcMar>
          </w:tcPr>
          <w:p>
            <w:pPr>
              <w:spacing w:after="0" w:line="259" w:lineRule="auto"/>
              <w:jc w:val="left"/>
            </w:pPr>
            <w:r>
              <w:rPr>
                <w:rFonts w:ascii="Calibri" w:hAnsi="Calibri"/>
                <w:color w:val="16182D"/>
                <w:sz w:val="16"/>
              </w:rPr>
              <w:t>User-facing page-visit bound</w:t>
            </w:r>
          </w:p>
        </w:tc>
      </w:tr>
      <w:tr>
        <w:tc>
          <w:tcPr>
            <w:tcW w:type="dxa" w:w="31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overall LLM timeout</w:t>
            </w:r>
          </w:p>
        </w:tc>
        <w:tc>
          <w:tcPr>
            <w:tcW w:type="dxa" w:w="18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6"/>
              </w:rPr>
              <w:t>90 seconds</w:t>
            </w:r>
          </w:p>
        </w:tc>
        <w:tc>
          <w:tcPr>
            <w:tcW w:type="dxa" w:w="446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Background failover allowance</w:t>
            </w:r>
          </w:p>
        </w:tc>
      </w:tr>
      <w:tr>
        <w:tc>
          <w:tcPr>
            <w:tcW w:type="dxa" w:w="3100"/>
            <w:vAlign w:val="center"/>
            <w:tcMar>
              <w:top w:w="100" w:type="dxa"/>
              <w:start w:w="120" w:type="dxa"/>
              <w:bottom w:w="100" w:type="dxa"/>
              <w:end w:w="120" w:type="dxa"/>
            </w:tcMar>
          </w:tcPr>
          <w:p>
            <w:pPr>
              <w:spacing w:after="0" w:line="259" w:lineRule="auto"/>
              <w:jc w:val="left"/>
            </w:pPr>
            <w:r>
              <w:rPr>
                <w:rFonts w:ascii="Calibri" w:hAnsi="Calibri"/>
                <w:color w:val="16182D"/>
                <w:sz w:val="16"/>
              </w:rPr>
              <w:t>Mesh model mode</w:t>
            </w:r>
          </w:p>
        </w:tc>
        <w:tc>
          <w:tcPr>
            <w:tcW w:type="dxa" w:w="1800"/>
            <w:vAlign w:val="center"/>
            <w:tcMar>
              <w:top w:w="100" w:type="dxa"/>
              <w:start w:w="120" w:type="dxa"/>
              <w:bottom w:w="100" w:type="dxa"/>
              <w:end w:w="120" w:type="dxa"/>
            </w:tcMar>
          </w:tcPr>
          <w:p>
            <w:pPr>
              <w:spacing w:after="0" w:line="259" w:lineRule="auto"/>
              <w:jc w:val="center"/>
            </w:pPr>
            <w:r>
              <w:rPr>
                <w:rFonts w:ascii="Calibri" w:hAnsi="Calibri"/>
                <w:color w:val="16182D"/>
                <w:sz w:val="16"/>
              </w:rPr>
              <w:t>free</w:t>
            </w:r>
          </w:p>
        </w:tc>
        <w:tc>
          <w:tcPr>
            <w:tcW w:type="dxa" w:w="4460"/>
            <w:vAlign w:val="center"/>
            <w:tcMar>
              <w:top w:w="100" w:type="dxa"/>
              <w:start w:w="120" w:type="dxa"/>
              <w:bottom w:w="100" w:type="dxa"/>
              <w:end w:w="120" w:type="dxa"/>
            </w:tcMar>
          </w:tcPr>
          <w:p>
            <w:pPr>
              <w:spacing w:after="0" w:line="259" w:lineRule="auto"/>
              <w:jc w:val="left"/>
            </w:pPr>
            <w:r>
              <w:rPr>
                <w:rFonts w:ascii="Calibri" w:hAnsi="Calibri"/>
                <w:color w:val="16182D"/>
                <w:sz w:val="16"/>
              </w:rPr>
              <w:t>Uses minimax/m2-her first</w:t>
            </w:r>
          </w:p>
        </w:tc>
      </w:tr>
      <w:tr>
        <w:tc>
          <w:tcPr>
            <w:tcW w:type="dxa" w:w="310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Mesh embeddings</w:t>
            </w:r>
          </w:p>
        </w:tc>
        <w:tc>
          <w:tcPr>
            <w:tcW w:type="dxa" w:w="1800"/>
            <w:shd w:fill="F8F9FC"/>
            <w:vAlign w:val="center"/>
            <w:tcMar>
              <w:top w:w="100" w:type="dxa"/>
              <w:start w:w="120" w:type="dxa"/>
              <w:bottom w:w="100" w:type="dxa"/>
              <w:end w:w="120" w:type="dxa"/>
            </w:tcMar>
          </w:tcPr>
          <w:p>
            <w:pPr>
              <w:spacing w:after="0" w:line="259" w:lineRule="auto"/>
              <w:jc w:val="center"/>
            </w:pPr>
            <w:r>
              <w:rPr>
                <w:rFonts w:ascii="Calibri" w:hAnsi="Calibri"/>
                <w:color w:val="16182D"/>
                <w:sz w:val="16"/>
              </w:rPr>
              <w:t>disabled</w:t>
            </w:r>
          </w:p>
        </w:tc>
        <w:tc>
          <w:tcPr>
            <w:tcW w:type="dxa" w:w="4460"/>
            <w:shd w:fill="F8F9FC"/>
            <w:vAlign w:val="center"/>
            <w:tcMar>
              <w:top w:w="100" w:type="dxa"/>
              <w:start w:w="120" w:type="dxa"/>
              <w:bottom w:w="100" w:type="dxa"/>
              <w:end w:w="120" w:type="dxa"/>
            </w:tcMar>
          </w:tcPr>
          <w:p>
            <w:pPr>
              <w:spacing w:after="0" w:line="259" w:lineRule="auto"/>
              <w:jc w:val="left"/>
            </w:pPr>
            <w:r>
              <w:rPr>
                <w:rFonts w:ascii="Calibri" w:hAnsi="Calibri"/>
                <w:color w:val="16182D"/>
                <w:sz w:val="16"/>
              </w:rPr>
              <w:t>Uses local deterministic embeddings</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87086"/>
        <w:sz w:val="16"/>
      </w:rPr>
      <w:t xml:space="preserve">SmartReco technical guide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87086"/>
        <w:sz w:val="16"/>
      </w:rPr>
      <w:t>SMARTRECO  /  RECOMMENDATION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18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5445D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3F61E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935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