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AASHA — Multi-Layer AI &amp; Digital Health Model</w:t>
      </w:r>
    </w:p>
    <w:p>
      <w:pPr>
        <w:jc w:val="center"/>
      </w:pPr>
      <w:r>
        <w:rPr>
          <w:b/>
        </w:rPr>
        <w:t>Project Model Report — Version 1.0</w:t>
      </w:r>
    </w:p>
    <w:p>
      <w:pPr>
        <w:jc w:val="center"/>
      </w:pPr>
      <w:r>
        <w:t>Project: AASHA</w:t>
      </w:r>
    </w:p>
    <w:p>
      <w:pPr>
        <w:jc w:val="center"/>
      </w:pPr>
      <w:r>
        <w:t>Model: Multi-Layer Health, Nutrition &amp; Locality Analysis Model</w:t>
      </w:r>
    </w:p>
    <w:p>
      <w:pPr>
        <w:jc w:val="center"/>
      </w:pPr>
      <w:r>
        <w:t>Initial Platform: Mobile Application</w:t>
      </w:r>
    </w:p>
    <w:p>
      <w:pPr>
        <w:jc w:val="center"/>
      </w:pPr>
      <w:r>
        <w:t>Architecture: Offline-First, Secure, API-Based</w:t>
      </w:r>
    </w:p>
    <w:p>
      <w:pPr>
        <w:jc w:val="center"/>
      </w:pPr>
      <w:r>
        <w:t>Status: Conceptual Architecture / Development Planning</w:t>
      </w:r>
    </w:p>
    <w:p>
      <w:pPr>
        <w:jc w:val="center"/>
      </w:pPr>
      <w:r>
        <w:t>Date: 15 August 2026</w:t>
      </w:r>
    </w:p>
    <w:p>
      <w:pPr>
        <w:pStyle w:val="Heading2"/>
      </w:pPr>
      <w:r>
        <w:t>1. Executive Summary</w:t>
      </w:r>
    </w:p>
    <w:p>
      <w:r>
        <w:t>AASHA is proposed as a mobile-first, offline-first digital platform designed to support the collection, organisation and analysis of health and nutritional information in rural and underserved communities.</w:t>
      </w:r>
    </w:p>
    <w:p>
      <w:r>
        <w:t>The core model uses a multi-layer analysis architecture rather than a single artificial intelligence model. Each aspect of a person's information is analysed independently, and outputs are combined to produce nutritional assessments, locality-specific food recommendations and understandable explanations.</w:t>
      </w:r>
    </w:p>
    <w:p>
      <w:r>
        <w:t>The system is built around five principles: security of health-related personal data, offline-first data collection, evidence-based analysis, multiple specialised AI/analysis layers, and locality/community-specific recommendations.</w:t>
      </w:r>
    </w:p>
    <w:p>
      <w:pPr>
        <w:pStyle w:val="Heading2"/>
      </w:pPr>
      <w:r>
        <w:t>2. Problem Statement</w:t>
      </w:r>
    </w:p>
    <w:p>
      <w:r>
        <w:t>AASHA addresses challenges such as limited internet connectivity, manual data collection, fragmented records, language barriers, generic dietary recommendations, and difficulty identifying community-level nutritional patterns.</w:t>
      </w:r>
    </w:p>
    <w:p>
      <w:pPr>
        <w:pStyle w:val="Heading2"/>
      </w:pPr>
      <w:r>
        <w:t>3. Overall Model</w:t>
      </w:r>
    </w:p>
    <w:p>
      <w:r>
        <w:t>Mobile App → Data Collection → Data Validation → Demographic / Anthropometric / Health Layers → Nutrition → Dietary / Nutrient / Food Analysis → Locality → Society/Community → Recommendation Engine → AI Explanation → Monitoring.</w:t>
      </w:r>
    </w:p>
    <w:p>
      <w:pPr>
        <w:pStyle w:val="Heading2"/>
      </w:pPr>
      <w:r>
        <w:t>4. Mobile-First Architecture</w:t>
      </w:r>
    </w:p>
    <w:p>
      <w:r>
        <w:t>The first version will be developed as a mobile application. It will provide authentication, person registration, health and nutrition data collection, offline storage, record viewing, analysis, recommendations and synchronization. A future website will use the same backend API and central database.</w:t>
      </w:r>
    </w:p>
    <w:p>
      <w:pPr>
        <w:pStyle w:val="Heading2"/>
      </w:pPr>
      <w:r>
        <w:t>5. Offline-First Model</w:t>
      </w:r>
    </w:p>
    <w:p>
      <w:r>
        <w:t>Data entered without connectivity is stored locally, marked for synchronization, and securely synchronized to the central backend when connectivity returns. The system must handle failed synchronization, retries, duplicate prevention, application interruption and conflicts.</w:t>
      </w:r>
    </w:p>
    <w:p>
      <w:pPr>
        <w:pStyle w:val="Heading2"/>
      </w:pPr>
      <w:r>
        <w:t>6. Security Model</w:t>
      </w:r>
    </w:p>
    <w:p>
      <w:r>
        <w:t>Security is the highest-priority technical requirement. The architecture should include encrypted local storage, TLS/HTTPS, secure authentication, role-based access control, secure token management, audit logging, database controls, protected backups, data minimisation and environment separation.</w:t>
      </w:r>
    </w:p>
    <w:p>
      <w:pPr>
        <w:pStyle w:val="Heading2"/>
      </w:pPr>
      <w:r>
        <w:t>7. Initial Registration Model</w:t>
      </w:r>
    </w:p>
    <w:p>
      <w:r>
        <w:t>The agreed baseline includes: Name; Gender; Date of Birth; Guardian Name; Guardian Relation; Phone Number; Alternate Phone Number; Weight; Height; Blood Pressure; Diabetes; Locality; Society/Community; and government-required information. Some fields may be optional or conditional.</w:t>
      </w:r>
    </w:p>
    <w:p>
      <w:pPr>
        <w:pStyle w:val="Heading2"/>
      </w:pPr>
      <w:r>
        <w:t>8. DOB and Age Model</w:t>
      </w:r>
    </w:p>
    <w:p>
      <w:r>
        <w:t>DOB will be stored as the primary age-related field. The system will calculate age from DOB and assessment date, including age in months/years where required and the applicable assessment group.</w:t>
      </w:r>
    </w:p>
    <w:p>
      <w:pPr>
        <w:pStyle w:val="Heading2"/>
      </w:pPr>
      <w:r>
        <w:t>9. Historical Measurement Model</w:t>
      </w:r>
    </w:p>
    <w:p>
      <w:r>
        <w:t>Height, weight, blood pressure and other measurements will be stored as historical time-series records rather than overwriting previous measurements. This enables trend analysis.</w:t>
      </w:r>
    </w:p>
    <w:p>
      <w:pPr>
        <w:pStyle w:val="Heading2"/>
      </w:pPr>
      <w:r>
        <w:t>10. Multi-Layer AI Model</w:t>
      </w:r>
    </w:p>
    <w:p>
      <w:r>
        <w:t>AASHA will use specialised analysis layers rather than one large AI model. The layers are described below.</w:t>
      </w:r>
    </w:p>
    <w:p>
      <w:pPr>
        <w:pStyle w:val="Heading2"/>
      </w:pPr>
      <w:r>
        <w:t>10.1 Layer 0 — Data Quality</w:t>
      </w:r>
    </w:p>
    <w:p>
      <w:r>
        <w:t>Validates missing, invalid, duplicate, inconsistent and out-of-range data. This layer should primarily be deterministic and rule-based.</w:t>
      </w:r>
    </w:p>
    <w:p>
      <w:pPr>
        <w:pStyle w:val="Heading2"/>
      </w:pPr>
      <w:r>
        <w:t>10.2 Layer 1 — Demographic Analysis</w:t>
      </w:r>
    </w:p>
    <w:p>
      <w:r>
        <w:t>Uses DOB, gender, assessment date and relevant physiological information to determine age, age group, life stage and assessment category.</w:t>
      </w:r>
    </w:p>
    <w:p>
      <w:pPr>
        <w:pStyle w:val="Heading2"/>
      </w:pPr>
      <w:r>
        <w:t>10.3 Layer 2 — Anthropometric Analysis</w:t>
      </w:r>
    </w:p>
    <w:p>
      <w:r>
        <w:t>Uses age, gender, height, weight and historical measurements for appropriate indicators such as BMI, weight-for-age, height-for-age, weight-for-height, BMI-for-age and growth trends, according to applicable standards.</w:t>
      </w:r>
    </w:p>
    <w:p>
      <w:pPr>
        <w:pStyle w:val="Heading2"/>
      </w:pPr>
      <w:r>
        <w:t>10.4 Layer 3 — Health/Vital Analysis</w:t>
      </w:r>
    </w:p>
    <w:p>
      <w:r>
        <w:t>Analyses blood pressure, diabetes-related information and future health indicators. It produces validity checks, reference-range flags and trends. Automated output should not be represented as a medical diagnosis.</w:t>
      </w:r>
    </w:p>
    <w:p>
      <w:pPr>
        <w:pStyle w:val="Heading2"/>
      </w:pPr>
      <w:r>
        <w:t>10.5 Layer 4 — Nutrition Analysis</w:t>
      </w:r>
    </w:p>
    <w:p>
      <w:r>
        <w:t>Combines age, gender, physiological category, anthropometric results, health information, activity and dietary information to estimate nutritional requirements and potential nutritional gaps using authoritative standards.</w:t>
      </w:r>
    </w:p>
    <w:p>
      <w:pPr>
        <w:pStyle w:val="Heading2"/>
      </w:pPr>
      <w:r>
        <w:t>10.6 Layer 5 — Dietary Analysis</w:t>
      </w:r>
    </w:p>
    <w:p>
      <w:r>
        <w:t>Evaluates foods consumed, meal frequency, food groups, dietary pattern, restrictions, preferences and household food availability. It can estimate nutrient intake from food composition data.</w:t>
      </w:r>
    </w:p>
    <w:p>
      <w:pPr>
        <w:pStyle w:val="Heading2"/>
      </w:pPr>
      <w:r>
        <w:t>10.7 Layer 6 — Nutrient Gap Analysis</w:t>
      </w:r>
    </w:p>
    <w:p>
      <w:r>
        <w:t>Compares estimated intake against applicable requirements. Conceptually: Nutrient Requirement − Estimated Intake = Potential Nutrient Gap. This should primarily be calculation/rules based.</w:t>
      </w:r>
    </w:p>
    <w:p>
      <w:pPr>
        <w:pStyle w:val="Heading2"/>
      </w:pPr>
      <w:r>
        <w:t>10.8 Layer 7 — Food Analysis</w:t>
      </w:r>
    </w:p>
    <w:p>
      <w:r>
        <w:t>Maps nutritional gaps and requirements against a controlled food composition database, considering dietary suitability and eventually locality, seasonality and affordability.</w:t>
      </w:r>
    </w:p>
    <w:p>
      <w:pPr>
        <w:pStyle w:val="Heading2"/>
      </w:pPr>
      <w:r>
        <w:t>10.9 Layer 8 — Locality Analysis</w:t>
      </w:r>
    </w:p>
    <w:p>
      <w:r>
        <w:t>Considers state, district, village/town, locality, local food availability, seasonality, affordability, dietary patterns and relevant programmes.</w:t>
      </w:r>
    </w:p>
    <w:p>
      <w:pPr>
        <w:pStyle w:val="Heading2"/>
      </w:pPr>
      <w:r>
        <w:t>10.10 Layer 9 — Society/Community Analysis</w:t>
      </w:r>
    </w:p>
    <w:p>
      <w:r>
        <w:t>Uses aggregated information to identify community-level nutritional concerns, dietary patterns, food-access issues and priorities while protecting individual information.</w:t>
      </w:r>
    </w:p>
    <w:p>
      <w:pPr>
        <w:pStyle w:val="Heading2"/>
      </w:pPr>
      <w:r>
        <w:t>10.11 Layer 10 — Recommendation Engine</w:t>
      </w:r>
    </w:p>
    <w:p>
      <w:r>
        <w:t>Combines validated individual, nutrition, dietary, food, locality and community outputs to rank recommendations.</w:t>
      </w:r>
    </w:p>
    <w:p>
      <w:pPr>
        <w:pStyle w:val="Heading2"/>
      </w:pPr>
      <w:r>
        <w:t>10.12 Layer 11 — AI Explanation</w:t>
      </w:r>
    </w:p>
    <w:p>
      <w:r>
        <w:t>Generative AI may convert validated results into understandable language. It should not arbitrarily alter calculated nutritional requirements or other validated values.</w:t>
      </w:r>
    </w:p>
    <w:p>
      <w:pPr>
        <w:pStyle w:val="Heading2"/>
      </w:pPr>
      <w:r>
        <w:t>10.13 Layer 12 — Monitoring</w:t>
      </w:r>
    </w:p>
    <w:p>
      <w:r>
        <w:t>Tracks weight, height/growth, nutritional changes, persistent gaps, health-indicator trends, follow-up results and recommendation progress over time.</w:t>
      </w:r>
    </w:p>
    <w:p>
      <w:pPr>
        <w:pStyle w:val="Heading2"/>
      </w:pPr>
      <w:r>
        <w:t>11. Rules, AI and Machine Learning</w:t>
      </w:r>
    </w:p>
    <w:p>
      <w:r>
        <w:t>Rules are best for age calculation, validation, standard calculations, nutrient requirements and reference classifications. Machine learning may later support pattern or risk prediction once sufficient quality data exists. Generative AI is best suited to explanations, multilingual communication and natural-language interaction.</w:t>
      </w:r>
    </w:p>
    <w:p>
      <w:pPr>
        <w:pStyle w:val="Heading2"/>
      </w:pPr>
      <w:r>
        <w:t>12. Data Strategy</w:t>
      </w:r>
    </w:p>
    <w:p>
      <w:r>
        <w:t>AASHA currently has no large real-world dataset. Development will therefore use authoritative reference data and clearly labelled synthetic data. Real production data must remain separated from development and staging data.</w:t>
      </w:r>
    </w:p>
    <w:p>
      <w:pPr>
        <w:pStyle w:val="Heading2"/>
      </w:pPr>
      <w:r>
        <w:t>13. Reference Data Architecture</w:t>
      </w:r>
    </w:p>
    <w:p>
      <w:r>
        <w:t>Each reference value should be traceable to its organization, document, version, table/section, value, effective date and import/verification history.</w:t>
      </w:r>
    </w:p>
    <w:p>
      <w:pPr>
        <w:pStyle w:val="Heading2"/>
      </w:pPr>
      <w:r>
        <w:t>14. Initial Reference Sources</w:t>
      </w:r>
    </w:p>
    <w:p>
      <w:r>
        <w:t>Potential primary sources include ICMR-NIN, Indian Food Composition Tables, WHO, Government of India sources, ABDM, and applicable Indian data-protection requirements. The exact source version and applicability of every production rule must be documented.</w:t>
      </w:r>
    </w:p>
    <w:p>
      <w:pPr>
        <w:pStyle w:val="Heading2"/>
      </w:pPr>
      <w:r>
        <w:t>15. Database Model</w:t>
      </w:r>
    </w:p>
    <w:p>
      <w:r>
        <w:t>Core domains include Person, Guardian, Contact, Locality, Society, Measurements, Health Records, Assessment, AI Analysis, Nutrient Requirements, Food Analysis, Recommendations, Users, Roles, Audit Logs, Synchronization Queue, Reference Standards and Data Sources.</w:t>
      </w:r>
    </w:p>
    <w:p>
      <w:pPr>
        <w:pStyle w:val="Heading2"/>
      </w:pPr>
      <w:r>
        <w:t>16. AI Traceability</w:t>
      </w:r>
    </w:p>
    <w:p>
      <w:r>
        <w:t>Every analysis should retain an analysis ID, person/assessment ID, layer, engine/model version, input version, reference source/version, result, confidence where applicable and timestamp. This enables auditability and reconstruction of results.</w:t>
      </w:r>
    </w:p>
    <w:p>
      <w:pPr>
        <w:pStyle w:val="Heading2"/>
      </w:pPr>
      <w:r>
        <w:t>17. Development Environment</w:t>
      </w:r>
    </w:p>
    <w:p>
      <w:r>
        <w:t>The team should use a shared Git-based repository with separate project areas for the mobile app, backend/API, database, AI, reference data, synthetic data, tests and documentation.</w:t>
      </w:r>
    </w:p>
    <w:p>
      <w:pPr>
        <w:pStyle w:val="Heading2"/>
      </w:pPr>
      <w:r>
        <w:t>18. Environment Separation</w:t>
      </w:r>
    </w:p>
    <w:p>
      <w:r>
        <w:t>Development should use synthetic data only; staging should use synthetic/test data; production should contain real AASHA data. Production data should never be copied into development for convenience.</w:t>
      </w:r>
    </w:p>
    <w:p>
      <w:pPr>
        <w:pStyle w:val="Heading2"/>
      </w:pPr>
      <w:r>
        <w:t>19. Current Development Stage</w:t>
      </w:r>
    </w:p>
    <w:p>
      <w:r>
        <w:t>Established decisions include mobile-first and offline-first development, security-first architecture, future API-based website integration, initial registration criteria, DOB-based age calculation, historical measurements, PostgreSQL plus local SQLite, multi-layer analysis, rules/AI separation, locality recommendations, community analysis, reference-data strategy, synthetic-data strategy, environment separation and AI traceability.</w:t>
      </w:r>
    </w:p>
    <w:p>
      <w:pPr>
        <w:pStyle w:val="Heading2"/>
      </w:pPr>
      <w:r>
        <w:t>20. Immediate Development Priorities</w:t>
      </w:r>
    </w:p>
    <w:p>
      <w:r>
        <w:t>Phase 1: team development environment. Phase 2: ER diagram and database schemas. Phase 3: reference-data collection. Phase 4: synthetic dataset. Phase 5: AI criteria matrix. Phase 6: mobile implementation covering authentication, registration, local storage, records, analysis, recommendations and synchronization.</w:t>
      </w:r>
    </w:p>
    <w:p>
      <w:pPr>
        <w:pStyle w:val="Heading2"/>
      </w:pPr>
      <w:r>
        <w:t>21. Long-Term Vision</w:t>
      </w:r>
    </w:p>
    <w:p>
      <w:r>
        <w:t>AASHA will evolve into a secure digital health and nutrition platform connecting a mobile app, secure API, central database, AI/analysis services and reference data, with a future website using the same backend services.</w:t>
      </w:r>
    </w:p>
    <w:p>
      <w:pPr>
        <w:pStyle w:val="Heading2"/>
      </w:pPr>
      <w:r>
        <w:t>22. Conclusion</w:t>
      </w:r>
    </w:p>
    <w:p>
      <w:r>
        <w:t>AASHA is designed as a secure, offline-capable, evidence-based, explainable and locality-aware digital health and nutrition platform. The multi-layer architecture separates deterministic health/nutrition calculations from machine learning and generative AI, reducing the risk of uncontrolled AI decisions. The absence of real AASHA data is not a blocker: development can proceed with authoritative reference datasets, synthetic records and controlled test scenarios.</w:t>
      </w:r>
    </w:p>
    <w:p>
      <w:r>
        <w:t>The immediate technical goal is to establish the shared development environment, finalize the database/ER model, build the reference-data pipeline and define the exact criteria for each analysis layer before implementing analytical models.</w:t>
      </w:r>
    </w:p>
    <w:p/>
    <w:p>
      <w:r>
        <w:rPr>
          <w:b/>
        </w:rPr>
        <w:t>Document status: AASHA Model Report V1.0</w:t>
      </w:r>
    </w:p>
    <w:p>
      <w:r>
        <w:t>Next technical deliverable: AASHA AI Criteria Matrix + Database/ER Specification V1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