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40"/>
          <w:szCs w:val="40"/>
        </w:rPr>
        <w:t xml:space="preserve">LSTM AUTOSCALER</w:t>
      </w:r>
    </w:p>
    <w:p>
      <w:pPr>
        <w:spacing w:after="40"/>
      </w:pPr>
      <w:r>
        <w:rPr>
          <w:b/>
          <w:bCs/>
          <w:color w:val="444444"/>
          <w:sz w:val="26"/>
          <w:szCs w:val="26"/>
        </w:rPr>
        <w:t xml:space="preserve">Complete Project Status — What's Done, What's Left</w:t>
      </w:r>
    </w:p>
    <w:p>
      <w:pPr>
        <w:spacing w:after="320"/>
      </w:pPr>
      <w:r>
        <w:rPr>
          <w:i/>
          <w:iCs/>
          <w:color w:val="444444"/>
          <w:sz w:val="20"/>
          <w:szCs w:val="20"/>
        </w:rPr>
        <w:t xml:space="preserve">Cost-Aware Predictive Autoscaling for Cloud Infrastructure Using LSTM-Based Load Forecasting  ·  UIP 17 / Final-Year Project  ·  Prepared September 3, 2026</w:t>
      </w:r>
    </w:p>
    <w:p>
      <w:pPr>
        <w:spacing w:after="40" w:before="80"/>
      </w:pPr>
      <w:r>
        <w:rPr>
          <w:b/>
          <w:bCs/>
          <w:color w:val="444444"/>
          <w:spacing w:val="20"/>
          <w:sz w:val="18"/>
          <w:szCs w:val="18"/>
        </w:rPr>
        <w:t xml:space="preserve">HOW TO READ THIS DOCUMENT</w:t>
      </w:r>
    </w:p>
    <w:p>
      <w:pPr>
        <w:spacing w:after="160" w:line="300"/>
      </w:pPr>
      <w:r>
        <w:t xml:space="preserve">This is a direct status report, not a pitch. Every claim below traces back to this repository's own dated progress log (25 steps, Aug 25 – Sep 3, 2026), the current state of the code, and what's actually been verified against real infrastructure versus what's only been simulated. Where an earlier result was later found wrong and retracted, that's stated plainly — the retractions are as much a part of this project's real output as the results that held up, and they're the strongest evidence that the surviving claims are trustworthy.</w:t>
      </w:r>
    </w:p>
    <w:p>
      <w:pPr>
        <w:pStyle w:val="Heading1"/>
        <w:spacing w:after="160" w:before="360"/>
      </w:pPr>
      <w:r>
        <w:t xml:space="preserve">1. Project Summary</w:t>
      </w:r>
    </w:p>
    <w:p>
      <w:pPr>
        <w:spacing w:after="160" w:line="300"/>
      </w:pPr>
      <w:r>
        <w:t xml:space="preserve">The project asks whether a machine-learning load forecaster can drive cheaper, safer autoscaling decisions than the industry-standard reactive (threshold-based) approach — the same thing Kubernetes' own Horizontal Pod Autoscaler does by default. It started as a single Jupyter notebook proving the concept on one machine's data. It is now a tested Python package with a real forecasting API, an empirical per-machine evaluation system, and a service deployed against a real Kubernetes cluster that observes real infrastructure and logs real scaling decisions continuously. What it does not yet do is act on those decisions — no code path anywhere in the project calls the Kubernetes API to actually change a real deployment's replica count. That is the one substantial piece of work left; everything else is either done or small.</w:t>
      </w:r>
    </w:p>
    <w:p>
      <w:pPr>
        <w:pStyle w:val="Heading1"/>
        <w:spacing w:after="160" w:before="360"/>
      </w:pPr>
      <w:r>
        <w:t xml:space="preserve">2. Where It Started (Phase 1)</w:t>
      </w:r>
    </w:p>
    <w:p>
      <w:pPr>
        <w:spacing w:after="160" w:line="300"/>
      </w:pPr>
      <w:r>
        <w:t xml:space="preserve">The original deliverable was one notebook (lstm_autoscaler.ipynb): load a 500K-row sample of the Alibaba Cluster Trace 2018, pick the machine with the most rows in that sample, train a 2-layer LSTM, feed its forecast into a cost-penalty decision engine, and compare the result against a reactive baseline in a discrete-time simulator. It produced a clean-looking headline number (LSTM SLA violations 0.22% vs. reactive 0.44%) and five charts.</w:t>
      </w:r>
    </w:p>
    <w:p>
      <w:pPr>
        <w:spacing w:after="160" w:line="300"/>
      </w:pPr>
      <w:r>
        <w:t xml:space="preserve">An internal audit (Aug 24, 2026) found that number wasn't trustworthy: the data scaler was fit across the train/test boundary (leakage), and — by the code's own comments — the LSTM policy's weights had been tuned until it won, while the reactive baseline's thresholds never got the same treatment. That audit is what became the Phase 2 plan this whole progress log follows.</w:t>
      </w:r>
    </w:p>
    <w:p>
      <w:pPr>
        <w:pStyle w:val="Heading1"/>
        <w:spacing w:after="160" w:before="360"/>
      </w:pPr>
      <w:r>
        <w:t xml:space="preserve">3. Scientific Validation (Steps 1–3)</w:t>
      </w:r>
    </w:p>
    <w:p>
      <w:pPr>
        <w:spacing w:after="160" w:line="300"/>
      </w:pPr>
      <w:r>
        <w:t xml:space="preserve">Before building anything new, the two validity problems above were fixed and the original comparison re-run fairly.</w:t>
      </w:r>
    </w:p>
    <w:p>
      <w:pPr>
        <w:pStyle w:val="ListParagraph"/>
        <w:numPr>
          <w:ilvl w:val="0"/>
          <w:numId w:val="2"/>
        </w:numPr>
        <w:spacing w:after="100" w:line="300"/>
      </w:pPr>
      <w:r>
        <w:rPr>
          <w:b/>
          <w:bCs/>
        </w:rPr>
        <w:t xml:space="preserve">Step 1 — </w:t>
      </w:r>
      <w:r>
        <w:t xml:space="preserve">fixed the scaler leakage (fit on train data only) and added a naive-persistence forecasting baseline, the standard sanity check the original notebook skipped.</w:t>
      </w:r>
    </w:p>
    <w:p>
      <w:pPr>
        <w:pStyle w:val="ListParagraph"/>
        <w:numPr>
          <w:ilvl w:val="0"/>
          <w:numId w:val="2"/>
        </w:numPr>
        <w:spacing w:after="100" w:line="300"/>
      </w:pPr>
      <w:r>
        <w:rPr>
          <w:b/>
          <w:bCs/>
        </w:rPr>
        <w:t xml:space="preserve">Step 2 — </w:t>
      </w:r>
      <w:r>
        <w:t xml:space="preserve">built a multi-seed experiment harness, since a single training run proves nothing on its own.</w:t>
      </w:r>
    </w:p>
    <w:p>
      <w:pPr>
        <w:pStyle w:val="ListParagraph"/>
        <w:numPr>
          <w:ilvl w:val="0"/>
          <w:numId w:val="2"/>
        </w:numPr>
        <w:spacing w:after="100" w:line="300"/>
      </w:pPr>
      <w:r>
        <w:rPr>
          <w:b/>
          <w:bCs/>
        </w:rPr>
        <w:t xml:space="preserve">Step 3 — </w:t>
      </w:r>
      <w:r>
        <w:t xml:space="preserve">moved to a proper 60/20/20 train/val/test split with both policies tuned on validation only, never the final test window.</w:t>
      </w:r>
    </w:p>
    <w:p>
      <w:pPr>
        <w:spacing w:after="240"/>
      </w:pPr>
      <w:r>
        <w:rPr>
          <w:i/>
          <w:iCs/>
          <w:color w:val="444444"/>
          <w:sz w:val="20"/>
          <w:szCs w:val="20"/>
        </w:rPr>
        <w:t xml:space="preserve">Result: once the tuning asymmetry was removed, the reactive baseline won outright on the original test machine (0% SLA violations and 0 cost, versus the LSTM's 1.77% and 0.088). The project's own original headline claim did not survive its own fair re-test — which is exactly the question a skeptical reviewer asks first, and exactly the thing this project checked before building anything further on top of it.</w:t>
      </w:r>
    </w:p>
    <w:p>
      <w:pPr>
        <w:pStyle w:val="Heading1"/>
        <w:spacing w:after="160" w:before="360"/>
      </w:pPr>
      <w:r>
        <w:t xml:space="preserve">4. Model Exploration — Does LSTM Ever Actually Win? (Steps 4–17)</w:t>
      </w:r>
    </w:p>
    <w:p>
      <w:pPr>
        <w:spacing w:after="160" w:line="300"/>
      </w:pPr>
      <w:r>
        <w:t xml:space="preserve">With the methodology now fair, the next eleven steps searched honestly for where, if anywhere, LSTM-based forecasting actually earns its complexity over a much simpler ARIMA model — retracting its own findings twice along the way rather than keeping a flattering result.</w:t>
      </w:r>
    </w:p>
    <w:p>
      <w:pPr>
        <w:pStyle w:val="ListParagraph"/>
        <w:numPr>
          <w:ilvl w:val="0"/>
          <w:numId w:val="2"/>
        </w:numPr>
        <w:spacing w:after="100" w:line="300"/>
      </w:pPr>
      <w:r>
        <w:t xml:space="preserve">Steps 4–5 tested burstiness across multiple machines and calibrated demand scale per machine, retracting the one clean LSTM win found so far as a scaling artifact.</w:t>
      </w:r>
    </w:p>
    <w:p>
      <w:pPr>
        <w:pStyle w:val="ListParagraph"/>
        <w:numPr>
          <w:ilvl w:val="0"/>
          <w:numId w:val="2"/>
        </w:numPr>
        <w:spacing w:after="100" w:line="300"/>
      </w:pPr>
      <w:r>
        <w:t xml:space="preserve">Step 6 added a real ARIMA(2,0,1) baseline. Step 8 expanded to 13 feasible machines and found an LSTM cost advantage on 10 of them — but as a trade-off (lower cost, more SLA violations), not a free win, in 9 of those 10.</w:t>
      </w:r>
    </w:p>
    <w:p>
      <w:pPr>
        <w:pStyle w:val="ListParagraph"/>
        <w:numPr>
          <w:ilvl w:val="0"/>
          <w:numId w:val="2"/>
        </w:numPr>
        <w:spacing w:after="100" w:line="300"/>
      </w:pPr>
      <w:r>
        <w:t xml:space="preserve">Step 10 explained the one machine that looked like a clean win as a validation/test split artifact. Step 11 then ran ARIMA across all 13 machines and retracted Step 8's whole finding: the cost advantage wasn't LSTM-specific — ARIMA got it too.</w:t>
      </w:r>
    </w:p>
    <w:p>
      <w:pPr>
        <w:pStyle w:val="ListParagraph"/>
        <w:numPr>
          <w:ilvl w:val="0"/>
          <w:numId w:val="2"/>
        </w:numPr>
        <w:spacing w:after="100" w:line="300"/>
      </w:pPr>
      <w:r>
        <w:t xml:space="preserve">Step 12 built a second, multistep-aware decision engine, which helped LSTM more than ARIMA — but Step 13's adversarial confound audit retracted most of that finding, and Step 14's deep audit of the one remaining candidate machine brought the net result to 0 of 13 machines with a clean, defensible LSTM-specific win.</w:t>
      </w:r>
    </w:p>
    <w:p>
      <w:pPr>
        <w:pStyle w:val="ListParagraph"/>
        <w:numPr>
          <w:ilvl w:val="0"/>
          <w:numId w:val="2"/>
        </w:numPr>
        <w:spacing w:after="100" w:line="300"/>
      </w:pPr>
      <w:r>
        <w:t xml:space="preserve">Step 15 tried pooling training data across a machine cluster instead of one model per machine — no net gain, and a new instability mode.</w:t>
      </w:r>
    </w:p>
    <w:p>
      <w:pPr>
        <w:pStyle w:val="ListParagraph"/>
        <w:numPr>
          <w:ilvl w:val="0"/>
          <w:numId w:val="2"/>
        </w:numPr>
        <w:spacing w:after="100" w:line="300"/>
      </w:pPr>
      <w:r>
        <w:t xml:space="preserve">Step 16 tried a residual hybrid (ARIMA's forecast plus a learned correction) — the first result that survived full adversarial scrutiny. Step 17 investigated why it works on the one machine it helps; the natural explanation was falsified, and no clean predictor for “which machines benefit” was found.</w:t>
      </w:r>
    </w:p>
    <w:p>
      <w:pPr>
        <w:spacing w:after="240"/>
      </w:pPr>
      <w:r>
        <w:rPr>
          <w:i/>
          <w:iCs/>
          <w:color w:val="444444"/>
          <w:sz w:val="20"/>
          <w:szCs w:val="20"/>
        </w:rPr>
        <w:t xml:space="preserve">Result: after eleven steps of honest, adversarial testing, exactly one forecasting approach (the residual hybrid) survives scrutiny, on some machines, for reasons that aren't yet fully understood — which is why the project's answer is to measure it empirically per machine rather than assume it, covered next.</w:t>
      </w:r>
    </w:p>
    <w:p>
      <w:pPr>
        <w:pStyle w:val="Heading1"/>
        <w:spacing w:after="160" w:before="360"/>
      </w:pPr>
      <w:r>
        <w:t xml:space="preserve">5. Engineering Foundation (Steps 9, 18–19)</w:t>
      </w:r>
    </w:p>
    <w:p>
      <w:pPr>
        <w:pStyle w:val="ListParagraph"/>
        <w:numPr>
          <w:ilvl w:val="0"/>
          <w:numId w:val="2"/>
        </w:numPr>
        <w:spacing w:after="100" w:line="300"/>
      </w:pPr>
      <w:r>
        <w:rPr>
          <w:b/>
          <w:bCs/>
        </w:rPr>
        <w:t xml:space="preserve">Step 9 — </w:t>
      </w:r>
      <w:r>
        <w:t xml:space="preserve">extracted the notebook into a real, importable src/ package with a pytest test suite (now 120 tests), verified end-to-end including a real GPU training run.</w:t>
      </w:r>
    </w:p>
    <w:p>
      <w:pPr>
        <w:pStyle w:val="ListParagraph"/>
        <w:numPr>
          <w:ilvl w:val="0"/>
          <w:numId w:val="2"/>
        </w:numPr>
        <w:spacing w:after="100" w:line="300"/>
      </w:pPr>
      <w:r>
        <w:rPr>
          <w:b/>
          <w:bCs/>
        </w:rPr>
        <w:t xml:space="preserve">Step 18 — </w:t>
      </w:r>
      <w:r>
        <w:t xml:space="preserve">since Step 17 found no static rule for which machines should get the hybrid forecaster, built a shadow-mode evaluation harness that watches each machine's real comparative performance over time and decides empirically, per machine.</w:t>
      </w:r>
    </w:p>
    <w:p>
      <w:pPr>
        <w:pStyle w:val="ListParagraph"/>
        <w:numPr>
          <w:ilvl w:val="0"/>
          <w:numId w:val="2"/>
        </w:numPr>
        <w:spacing w:after="100" w:line="300"/>
      </w:pPr>
      <w:r>
        <w:rPr>
          <w:b/>
          <w:bCs/>
        </w:rPr>
        <w:t xml:space="preserve">Step 19 — </w:t>
      </w:r>
      <w:r>
        <w:t xml:space="preserve">made that shadow state durable (SQLite-backed) so it survives a restart.</w:t>
      </w:r>
    </w:p>
    <w:p>
      <w:pPr>
        <w:pStyle w:val="Heading1"/>
        <w:spacing w:after="160" w:before="360"/>
      </w:pPr>
      <w:r>
        <w:t xml:space="preserve">6. Real Infrastructure Integration (Steps 20–25)</w:t>
      </w:r>
    </w:p>
    <w:p>
      <w:pPr>
        <w:spacing w:after="160" w:line="300"/>
      </w:pPr>
      <w:r>
        <w:t xml:space="preserve">This is the most recent and most substantial block of work: taking the shadow-mode system from something that only ever ran locally against synthetic or hand-submitted data, to something deployed and verified against a real Kubernetes cluster.</w:t>
      </w:r>
    </w:p>
    <w:p>
      <w:pPr>
        <w:pStyle w:val="ListParagraph"/>
        <w:numPr>
          <w:ilvl w:val="0"/>
          <w:numId w:val="2"/>
        </w:numPr>
        <w:spacing w:after="100" w:line="300"/>
      </w:pPr>
      <w:r>
        <w:rPr>
          <w:b/>
          <w:bCs/>
        </w:rPr>
        <w:t xml:space="preserve">Step 20 — </w:t>
      </w:r>
      <w:r>
        <w:t xml:space="preserve">defined a swappable metrics-ingestion interface before naming a real target system, to keep the abstraction honest.</w:t>
      </w:r>
    </w:p>
    <w:p>
      <w:pPr>
        <w:pStyle w:val="ListParagraph"/>
        <w:numPr>
          <w:ilvl w:val="0"/>
          <w:numId w:val="2"/>
        </w:numPr>
        <w:spacing w:after="100" w:line="300"/>
      </w:pPr>
      <w:r>
        <w:rPr>
          <w:b/>
          <w:bCs/>
        </w:rPr>
        <w:t xml:space="preserve">Step 21 — </w:t>
      </w:r>
      <w:r>
        <w:t xml:space="preserve">built the real connector — PrometheusMetricsSource — against a real cluster's kube-prometheus-stack.</w:t>
      </w:r>
    </w:p>
    <w:p>
      <w:pPr>
        <w:pStyle w:val="ListParagraph"/>
        <w:numPr>
          <w:ilvl w:val="0"/>
          <w:numId w:val="2"/>
        </w:numPr>
        <w:spacing w:after="100" w:line="300"/>
      </w:pPr>
      <w:r>
        <w:rPr>
          <w:b/>
          <w:bCs/>
        </w:rPr>
        <w:t xml:space="preserve">Step 22 — </w:t>
      </w:r>
      <w:r>
        <w:t xml:space="preserve">built the live forecasting loop: a scheduled tick that, for every tracked node, pulls real history, forecasts, and logs a scaling decision — continuously, not as a one-off script.</w:t>
      </w:r>
    </w:p>
    <w:p>
      <w:pPr>
        <w:pStyle w:val="ListParagraph"/>
        <w:numPr>
          <w:ilvl w:val="0"/>
          <w:numId w:val="2"/>
        </w:numPr>
        <w:spacing w:after="100" w:line="300"/>
      </w:pPr>
      <w:r>
        <w:rPr>
          <w:b/>
          <w:bCs/>
        </w:rPr>
        <w:t xml:space="preserve">Step 23 — </w:t>
      </w:r>
      <w:r>
        <w:t xml:space="preserve">packaged the loop to run inside the cluster itself: a Dockerfile and a minimal Kubernetes manifest (Namespace, PersistentVolumeClaim, Deployment, Service).</w:t>
      </w:r>
    </w:p>
    <w:p>
      <w:pPr>
        <w:pStyle w:val="ListParagraph"/>
        <w:numPr>
          <w:ilvl w:val="0"/>
          <w:numId w:val="2"/>
        </w:numPr>
        <w:spacing w:after="100" w:line="300"/>
      </w:pPr>
      <w:r>
        <w:rPr>
          <w:b/>
          <w:bCs/>
        </w:rPr>
        <w:t xml:space="preserve">Step 24 — </w:t>
      </w:r>
      <w:r>
        <w:t xml:space="preserve">actually deployed and verified it against a real cluster (Docker Desktop Kubernetes, 2 nodes): the pod came up healthy, really queried real Prometheus data for real node-exporter instances, and really wrote to its persistent database.</w:t>
      </w:r>
    </w:p>
    <w:p>
      <w:pPr>
        <w:pStyle w:val="ListParagraph"/>
        <w:numPr>
          <w:ilvl w:val="0"/>
          <w:numId w:val="2"/>
        </w:numPr>
        <w:spacing w:after="100" w:line="300"/>
      </w:pPr>
      <w:r>
        <w:rPr>
          <w:b/>
          <w:bCs/>
        </w:rPr>
        <w:t xml:space="preserve">Step 25 — </w:t>
      </w:r>
      <w:r>
        <w:t xml:space="preserve">traced why the shadow-comparison path could never activate on its own (a closed assignment loop, and no trained residual model existing anywhere), then mechanically forced both open with a clearly-labeled placeholder model to prove the pipeline works end-to-end — a real shadow window banked, and the system's own 3-window safety gate correctly reverted the forced assignment, validating that safety property under real conditions. Found and permanently fixed two real production bugs along the way: silently-dropped application logs, and a stale-image trap from reusing a mutable :latest tag.</w:t>
      </w:r>
    </w:p>
    <w:p>
      <w:pPr>
        <w:pStyle w:val="Heading1"/>
        <w:spacing w:after="160" w:before="360"/>
      </w:pPr>
      <w:r>
        <w:t xml:space="preserve">7. Current Live State (as of today)</w:t>
      </w:r>
    </w:p>
    <w:p>
      <w:pPr>
        <w:spacing w:after="160" w:line="300"/>
      </w:pPr>
      <w:r>
        <w:t xml:space="preserve">Right now, on Chinmay's own machine: Docker Desktop Kubernetes is running with 2 real nodes; kube-prometheus-stack is healthy; the observer service is deployed in its own namespace and reachable; it is continuously polling real Prometheus data and logging real ARIMA-based scaling decisions to a PersistentVolumeClaim-backed database. No machine has a trained hybrid residual model yet (the directory for one is wired in but empty, on purpose), so every machine currently runs the plain ARIMA-based observation path. All demo-only artifacts from Step 25 have been removed, and the deployment is running the real 6-hour-fit / 24-hour-window methodology, not a shortened demo version.</w:t>
      </w:r>
    </w:p>
    <w:p>
      <w:pPr>
        <w:spacing w:after="240"/>
      </w:pPr>
      <w:r>
        <w:rPr>
          <w:i/>
          <w:iCs/>
          <w:color w:val="444444"/>
          <w:sz w:val="20"/>
          <w:szCs w:val="20"/>
        </w:rPr>
        <w:t xml:space="preserve">In one sentence: the forecasting and decision-making side of this project is real, deployed, and verified against real infrastructure. It watches and logs. It does not yet act.</w:t>
      </w:r>
    </w:p>
    <w:p>
      <w:pPr>
        <w:pStyle w:val="Heading1"/>
        <w:spacing w:after="160" w:before="360"/>
      </w:pPr>
      <w:r>
        <w:t xml:space="preserve">8. What's Left</w:t>
      </w:r>
    </w:p>
    <w:p>
      <w:pPr>
        <w:pStyle w:val="Heading2"/>
        <w:spacing w:after="120" w:before="260"/>
      </w:pPr>
      <w:r>
        <w:t xml:space="preserve">8.1 The one substantial piece: real Kubernetes actuation</w:t>
      </w:r>
    </w:p>
    <w:p>
      <w:pPr>
        <w:spacing w:after="160" w:line="300"/>
      </w:pPr>
      <w:r>
        <w:t xml:space="preserve">Nothing anywhere in this codebase currently calls the Kubernetes API to change a real deployment's replica count — every step from Step 18 onward has deliberately left this out as a separate, not-yet-approved step. This is now the explicit next goal, and it's a well-scoped, contained task rather than an open-ended one: the decision engine already computes a bounded target replica count every single tick (clamped between 1 and 10 servers, moving by at most 1 per tick), it's just never fed to a real target. What's needed:</w:t>
      </w:r>
    </w:p>
    <w:p>
      <w:pPr>
        <w:pStyle w:val="ListParagraph"/>
        <w:numPr>
          <w:ilvl w:val="0"/>
          <w:numId w:val="2"/>
        </w:numPr>
        <w:spacing w:after="100" w:line="300"/>
      </w:pPr>
      <w:r>
        <w:t xml:space="preserve">A small K8s client wrapper that patches a target Deployment's replica count to the decision engine's recommended value.</w:t>
      </w:r>
    </w:p>
    <w:p>
      <w:pPr>
        <w:pStyle w:val="ListParagraph"/>
        <w:numPr>
          <w:ilvl w:val="0"/>
          <w:numId w:val="2"/>
        </w:numPr>
        <w:spacing w:after="100" w:line="300"/>
      </w:pPr>
      <w:r>
        <w:t xml:space="preserve">A clearly-labeled demo target workload to scale, since the real signal being forecast (node-level CPU) isn't yet tied to an actual variable-load service in this cluster.</w:t>
      </w:r>
    </w:p>
    <w:p>
      <w:pPr>
        <w:pStyle w:val="ListParagraph"/>
        <w:numPr>
          <w:ilvl w:val="0"/>
          <w:numId w:val="2"/>
        </w:numPr>
        <w:spacing w:after="100" w:line="300"/>
      </w:pPr>
      <w:r>
        <w:t xml:space="preserve">Least-privilege RBAC (a ServiceAccount and Role scoped only to the scale subresource, in one namespace) — not cluster-admin access.</w:t>
      </w:r>
    </w:p>
    <w:p>
      <w:pPr>
        <w:pStyle w:val="ListParagraph"/>
        <w:numPr>
          <w:ilvl w:val="0"/>
          <w:numId w:val="2"/>
        </w:numPr>
        <w:spacing w:after="100" w:line="300"/>
      </w:pPr>
      <w:r>
        <w:t xml:space="preserve">An explicit on/off flag, defaulting to off, so the safe observer-only deployment remains the default and actuation is an opt-in capability, not a silent behavior change.</w:t>
      </w:r>
    </w:p>
    <w:p>
      <w:pPr>
        <w:pStyle w:val="Heading2"/>
        <w:spacing w:after="120" w:before="260"/>
      </w:pPr>
      <w:r>
        <w:t xml:space="preserve">8.2 Smaller engineering gaps</w:t>
      </w:r>
    </w:p>
    <w:p>
      <w:pPr>
        <w:pStyle w:val="ListParagraph"/>
        <w:numPr>
          <w:ilvl w:val="0"/>
          <w:numId w:val="2"/>
        </w:numPr>
        <w:spacing w:after="100" w:line="300"/>
      </w:pPr>
      <w:r>
        <w:t xml:space="preserve">A real fail-safe fallback code path (forecaster unavailable → fall back to the reactive threshold policy) — currently the API just returns an error, not a fallback decision.</w:t>
      </w:r>
    </w:p>
    <w:p>
      <w:pPr>
        <w:pStyle w:val="ListParagraph"/>
        <w:numPr>
          <w:ilvl w:val="0"/>
          <w:numId w:val="2"/>
        </w:numPr>
        <w:spacing w:after="100" w:line="300"/>
      </w:pPr>
      <w:r>
        <w:t xml:space="preserve">A /metrics endpoint on the API itself, for monitoring the service's own health and throughput (only /health exists today).</w:t>
      </w:r>
    </w:p>
    <w:p>
      <w:pPr>
        <w:pStyle w:val="ListParagraph"/>
        <w:numPr>
          <w:ilvl w:val="0"/>
          <w:numId w:val="2"/>
        </w:numPr>
        <w:spacing w:after="100" w:line="300"/>
      </w:pPr>
      <w:r>
        <w:t xml:space="preserve">Continuous integration (no automated lint/test run on push exists yet).</w:t>
      </w:r>
    </w:p>
    <w:p>
      <w:pPr>
        <w:pStyle w:val="Heading2"/>
        <w:spacing w:after="120" w:before="260"/>
      </w:pPr>
      <w:r>
        <w:t xml:space="preserve">8.3 Needs real time, not more engineering</w:t>
      </w:r>
    </w:p>
    <w:p>
      <w:pPr>
        <w:spacing w:after="160" w:line="300"/>
      </w:pPr>
      <w:r>
        <w:t xml:space="preserve">A real trained residual-hybrid model. Step 25 proved the scoring pipeline works; it did not, and could not, prove the hybrid forecaster itself is good, because no real model exists yet for any real machine. That needs real accumulated history from the live deployment before training one would mean anything.</w:t>
      </w:r>
    </w:p>
    <w:p>
      <w:pPr>
        <w:pStyle w:val="Heading2"/>
        <w:spacing w:after="120" w:before="260"/>
      </w:pPr>
      <w:r>
        <w:t xml:space="preserve">8.4 Deliberately deferred, not forgotten</w:t>
      </w:r>
    </w:p>
    <w:p>
      <w:pPr>
        <w:spacing w:after="160" w:line="300"/>
      </w:pPr>
      <w:r>
        <w:t xml:space="preserve">Documentation and portfolio polish (a real README, CI badge, a recorded demo) — explicitly sequenced last, by Chinmay's own decision: finish the actuation work and the smaller engineering gaps first, read and understand every line of the resulting codebase personally, and only then decide how to present this project for job applications.</w:t>
      </w:r>
    </w:p>
    <w:p>
      <w:pPr>
        <w:pStyle w:val="Heading1"/>
        <w:spacing w:after="160" w:before="360"/>
      </w:pPr>
      <w:r>
        <w:t xml:space="preserve">9. Appendix — Full Step Index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600"/>
      </w:tblGrid>
      <w:tr>
        <w:trPr>
          <w:tblHeader/>
        </w:trPr>
        <w:tc>
          <w:tcPr>
            <w:tcW w:type="dxa" w:w="1000"/>
            <w:shd w:fill="1F1F1F" w:val="clear"/>
          </w:tcPr>
          <w:p>
            <w:r>
              <w:rPr>
                <w:b/>
                <w:bCs/>
                <w:color w:val="FFFFFF"/>
                <w:sz w:val="18"/>
                <w:szCs w:val="18"/>
              </w:rPr>
              <w:t xml:space="preserve">Step</w:t>
            </w:r>
          </w:p>
        </w:tc>
        <w:tc>
          <w:tcPr>
            <w:tcW w:type="dxa" w:w="1400"/>
            <w:shd w:fill="1F1F1F" w:val="clear"/>
          </w:tcPr>
          <w:p>
            <w:r>
              <w:rPr>
                <w:b/>
                <w:bCs/>
                <w:color w:val="FFFFFF"/>
                <w:sz w:val="18"/>
                <w:szCs w:val="18"/>
              </w:rPr>
              <w:t xml:space="preserve">Date</w:t>
            </w:r>
          </w:p>
        </w:tc>
        <w:tc>
          <w:tcPr>
            <w:tcW w:type="dxa" w:w="6600"/>
            <w:shd w:fill="1F1F1F" w:val="clear"/>
          </w:tcPr>
          <w:p>
            <w:r>
              <w:rPr>
                <w:b/>
                <w:bCs/>
                <w:color w:val="FFFFFF"/>
                <w:sz w:val="18"/>
                <w:szCs w:val="18"/>
              </w:rPr>
              <w:t xml:space="preserve">Result</w:t>
            </w:r>
          </w:p>
        </w:tc>
      </w:tr>
      <w:tr>
        <w:tc>
          <w:tcPr>
            <w:tcW w:type="dxa" w:w="1000"/>
          </w:tcPr>
          <w:p>
            <w:r>
              <w:rPr>
                <w:b/>
                <w:bCs/>
                <w:sz w:val="18"/>
                <w:szCs w:val="18"/>
              </w:rPr>
              <w:t xml:space="preserve">1</w:t>
            </w:r>
          </w:p>
        </w:tc>
        <w:tc>
          <w:tcPr>
            <w:tcW w:type="dxa" w:w="1400"/>
          </w:tcPr>
          <w:p>
            <w:r>
              <w:rPr>
                <w:sz w:val="18"/>
                <w:szCs w:val="18"/>
              </w:rPr>
              <w:t xml:space="preserve">Aug 25</w:t>
            </w:r>
          </w:p>
        </w:tc>
        <w:tc>
          <w:tcPr>
            <w:tcW w:type="dxa" w:w="6600"/>
          </w:tcPr>
          <w:p>
            <w:r>
              <w:rPr>
                <w:sz w:val="18"/>
                <w:szCs w:val="18"/>
              </w:rPr>
              <w:t xml:space="preserve">Fixed scaler train/test leakage; added a naive-persistence forecasting baseline.</w:t>
            </w:r>
          </w:p>
        </w:tc>
      </w:tr>
      <w:tr>
        <w:tc>
          <w:tcPr>
            <w:tcW w:type="dxa" w:w="1000"/>
            <w:shd w:fill="F2F2F2" w:val="clear"/>
          </w:tcPr>
          <w:p>
            <w:r>
              <w:rPr>
                <w:b/>
                <w:bCs/>
                <w:sz w:val="18"/>
                <w:szCs w:val="18"/>
              </w:rPr>
              <w:t xml:space="preserve">2</w:t>
            </w:r>
          </w:p>
        </w:tc>
        <w:tc>
          <w:tcPr>
            <w:tcW w:type="dxa" w:w="1400"/>
            <w:shd w:fill="F2F2F2" w:val="clear"/>
          </w:tcPr>
          <w:p>
            <w:r>
              <w:rPr>
                <w:sz w:val="18"/>
                <w:szCs w:val="18"/>
              </w:rPr>
              <w:t xml:space="preserve">Aug 26</w:t>
            </w:r>
          </w:p>
        </w:tc>
        <w:tc>
          <w:tcPr>
            <w:tcW w:type="dxa" w:w="6600"/>
            <w:shd w:fill="F2F2F2" w:val="clear"/>
          </w:tcPr>
          <w:p>
            <w:r>
              <w:rPr>
                <w:sz w:val="18"/>
                <w:szCs w:val="18"/>
              </w:rPr>
              <w:t xml:space="preserve">Multi-seed experiment harness so results aren't a single lucky run.</w:t>
            </w:r>
          </w:p>
        </w:tc>
      </w:tr>
      <w:tr>
        <w:tc>
          <w:tcPr>
            <w:tcW w:type="dxa" w:w="1000"/>
          </w:tcPr>
          <w:p>
            <w:r>
              <w:rPr>
                <w:b/>
                <w:bCs/>
                <w:sz w:val="18"/>
                <w:szCs w:val="18"/>
              </w:rPr>
              <w:t xml:space="preserve">3</w:t>
            </w:r>
          </w:p>
        </w:tc>
        <w:tc>
          <w:tcPr>
            <w:tcW w:type="dxa" w:w="1400"/>
          </w:tcPr>
          <w:p>
            <w:r>
              <w:rPr>
                <w:sz w:val="18"/>
                <w:szCs w:val="18"/>
              </w:rPr>
              <w:t xml:space="preserve">Aug 27</w:t>
            </w:r>
          </w:p>
        </w:tc>
        <w:tc>
          <w:tcPr>
            <w:tcW w:type="dxa" w:w="6600"/>
          </w:tcPr>
          <w:p>
            <w:r>
              <w:rPr>
                <w:sz w:val="18"/>
                <w:szCs w:val="18"/>
              </w:rPr>
              <w:t xml:space="preserve">Fair 60/20/20 train/val/test split; both policies tuned on validation only. Reversed the original headline result: reactive baseline wins outright on the original test machine once tuning is fair.</w:t>
            </w:r>
          </w:p>
        </w:tc>
      </w:tr>
      <w:tr>
        <w:tc>
          <w:tcPr>
            <w:tcW w:type="dxa" w:w="1000"/>
            <w:shd w:fill="F2F2F2" w:val="clear"/>
          </w:tcPr>
          <w:p>
            <w:r>
              <w:rPr>
                <w:b/>
                <w:bCs/>
                <w:sz w:val="18"/>
                <w:szCs w:val="18"/>
              </w:rPr>
              <w:t xml:space="preserve">4</w:t>
            </w:r>
          </w:p>
        </w:tc>
        <w:tc>
          <w:tcPr>
            <w:tcW w:type="dxa" w:w="1400"/>
            <w:shd w:fill="F2F2F2" w:val="clear"/>
          </w:tcPr>
          <w:p>
            <w:r>
              <w:rPr>
                <w:sz w:val="18"/>
                <w:szCs w:val="18"/>
              </w:rPr>
              <w:t xml:space="preserve">Aug 27</w:t>
            </w:r>
          </w:p>
        </w:tc>
        <w:tc>
          <w:tcPr>
            <w:tcW w:type="dxa" w:w="6600"/>
            <w:shd w:fill="F2F2F2" w:val="clear"/>
          </w:tcPr>
          <w:p>
            <w:r>
              <w:rPr>
                <w:sz w:val="18"/>
                <w:szCs w:val="18"/>
              </w:rPr>
              <w:t xml:space="preserve">Multi-machine burstiness experiment -- does the result hold on other machines?</w:t>
            </w:r>
          </w:p>
        </w:tc>
      </w:tr>
      <w:tr>
        <w:tc>
          <w:tcPr>
            <w:tcW w:type="dxa" w:w="1000"/>
          </w:tcPr>
          <w:p>
            <w:r>
              <w:rPr>
                <w:b/>
                <w:bCs/>
                <w:sz w:val="18"/>
                <w:szCs w:val="18"/>
              </w:rPr>
              <w:t xml:space="preserve">5</w:t>
            </w:r>
          </w:p>
        </w:tc>
        <w:tc>
          <w:tcPr>
            <w:tcW w:type="dxa" w:w="1400"/>
          </w:tcPr>
          <w:p>
            <w:r>
              <w:rPr>
                <w:sz w:val="18"/>
                <w:szCs w:val="18"/>
              </w:rPr>
              <w:t xml:space="preserve">Aug 27</w:t>
            </w:r>
          </w:p>
        </w:tc>
        <w:tc>
          <w:tcPr>
            <w:tcW w:type="dxa" w:w="6600"/>
          </w:tcPr>
          <w:p>
            <w:r>
              <w:rPr>
                <w:sz w:val="18"/>
                <w:szCs w:val="18"/>
              </w:rPr>
              <w:t xml:space="preserve">Per-machine demand-scale calibration; retracted the one earlier confirmed LSTM win as a capacity-ceiling artifact, surfaced a real advantage on 2 other machines.</w:t>
            </w:r>
          </w:p>
        </w:tc>
      </w:tr>
      <w:tr>
        <w:tc>
          <w:tcPr>
            <w:tcW w:type="dxa" w:w="1000"/>
            <w:shd w:fill="F2F2F2" w:val="clear"/>
          </w:tcPr>
          <w:p>
            <w:r>
              <w:rPr>
                <w:b/>
                <w:bCs/>
                <w:sz w:val="18"/>
                <w:szCs w:val="18"/>
              </w:rPr>
              <w:t xml:space="preserve">6</w:t>
            </w:r>
          </w:p>
        </w:tc>
        <w:tc>
          <w:tcPr>
            <w:tcW w:type="dxa" w:w="1400"/>
            <w:shd w:fill="F2F2F2" w:val="clear"/>
          </w:tcPr>
          <w:p>
            <w:r>
              <w:rPr>
                <w:sz w:val="18"/>
                <w:szCs w:val="18"/>
              </w:rPr>
              <w:t xml:space="preserve">Aug 27</w:t>
            </w:r>
          </w:p>
        </w:tc>
        <w:tc>
          <w:tcPr>
            <w:tcW w:type="dxa" w:w="6600"/>
            <w:shd w:fill="F2F2F2" w:val="clear"/>
          </w:tcPr>
          <w:p>
            <w:r>
              <w:rPr>
                <w:sz w:val="18"/>
                <w:szCs w:val="18"/>
              </w:rPr>
              <w:t xml:space="preserve">Added a real ARIMA(2,0,1) baseline plus a forecast-horizon / lookback sweep.</w:t>
            </w:r>
          </w:p>
        </w:tc>
      </w:tr>
      <w:tr>
        <w:tc>
          <w:tcPr>
            <w:tcW w:type="dxa" w:w="1000"/>
          </w:tcPr>
          <w:p>
            <w:r>
              <w:rPr>
                <w:b/>
                <w:bCs/>
                <w:sz w:val="18"/>
                <w:szCs w:val="18"/>
              </w:rPr>
              <w:t xml:space="preserve">8</w:t>
            </w:r>
          </w:p>
        </w:tc>
        <w:tc>
          <w:tcPr>
            <w:tcW w:type="dxa" w:w="1400"/>
          </w:tcPr>
          <w:p>
            <w:r>
              <w:rPr>
                <w:sz w:val="18"/>
                <w:szCs w:val="18"/>
              </w:rPr>
              <w:t xml:space="preserve">Aug 27</w:t>
            </w:r>
          </w:p>
        </w:tc>
        <w:tc>
          <w:tcPr>
            <w:tcW w:type="dxa" w:w="6600"/>
          </w:tcPr>
          <w:p>
            <w:r>
              <w:rPr>
                <w:sz w:val="18"/>
                <w:szCs w:val="18"/>
              </w:rPr>
              <w:t xml:space="preserve">Expanded to 13 feasible machines: LSTM cost advantage generalizes to 10/13, but as a trade-off (lower cost, more SLA violations) in 9 of those 10, not a free lunch.</w:t>
            </w:r>
          </w:p>
        </w:tc>
      </w:tr>
      <w:tr>
        <w:tc>
          <w:tcPr>
            <w:tcW w:type="dxa" w:w="1000"/>
            <w:shd w:fill="F2F2F2" w:val="clear"/>
          </w:tcPr>
          <w:p>
            <w:r>
              <w:rPr>
                <w:b/>
                <w:bCs/>
                <w:sz w:val="18"/>
                <w:szCs w:val="18"/>
              </w:rPr>
              <w:t xml:space="preserve">9</w:t>
            </w:r>
          </w:p>
        </w:tc>
        <w:tc>
          <w:tcPr>
            <w:tcW w:type="dxa" w:w="1400"/>
            <w:shd w:fill="F2F2F2" w:val="clear"/>
          </w:tcPr>
          <w:p>
            <w:r>
              <w:rPr>
                <w:sz w:val="18"/>
                <w:szCs w:val="18"/>
              </w:rPr>
              <w:t xml:space="preserve">Aug 29</w:t>
            </w:r>
          </w:p>
        </w:tc>
        <w:tc>
          <w:tcPr>
            <w:tcW w:type="dxa" w:w="6600"/>
            <w:shd w:fill="F2F2F2" w:val="clear"/>
          </w:tcPr>
          <w:p>
            <w:r>
              <w:rPr>
                <w:sz w:val="18"/>
                <w:szCs w:val="18"/>
              </w:rPr>
              <w:t xml:space="preserve">Extracted the notebook into a real src/ package with a pytest test suite. Verified end-to-end, including a real GPU training run.</w:t>
            </w:r>
          </w:p>
        </w:tc>
      </w:tr>
      <w:tr>
        <w:tc>
          <w:tcPr>
            <w:tcW w:type="dxa" w:w="1000"/>
          </w:tcPr>
          <w:p>
            <w:r>
              <w:rPr>
                <w:b/>
                <w:bCs/>
                <w:sz w:val="18"/>
                <w:szCs w:val="18"/>
              </w:rPr>
              <w:t xml:space="preserve">10</w:t>
            </w:r>
          </w:p>
        </w:tc>
        <w:tc>
          <w:tcPr>
            <w:tcW w:type="dxa" w:w="1400"/>
          </w:tcPr>
          <w:p>
            <w:r>
              <w:rPr>
                <w:sz w:val="18"/>
                <w:szCs w:val="18"/>
              </w:rPr>
              <w:t xml:space="preserve">Aug 29</w:t>
            </w:r>
          </w:p>
        </w:tc>
        <w:tc>
          <w:tcPr>
            <w:tcW w:type="dxa" w:w="6600"/>
          </w:tcPr>
          <w:p>
            <w:r>
              <w:rPr>
                <w:sz w:val="18"/>
                <w:szCs w:val="18"/>
              </w:rPr>
              <w:t xml:space="preserve">Wired ARIMA into the simulator; explained the one machine (m_2085) that looked like a clean LSTM win as a validation/test split artifact.</w:t>
            </w:r>
          </w:p>
        </w:tc>
      </w:tr>
      <w:tr>
        <w:tc>
          <w:tcPr>
            <w:tcW w:type="dxa" w:w="1000"/>
            <w:shd w:fill="F2F2F2" w:val="clear"/>
          </w:tcPr>
          <w:p>
            <w:r>
              <w:rPr>
                <w:b/>
                <w:bCs/>
                <w:sz w:val="18"/>
                <w:szCs w:val="18"/>
              </w:rPr>
              <w:t xml:space="preserve">11</w:t>
            </w:r>
          </w:p>
        </w:tc>
        <w:tc>
          <w:tcPr>
            <w:tcW w:type="dxa" w:w="1400"/>
            <w:shd w:fill="F2F2F2" w:val="clear"/>
          </w:tcPr>
          <w:p>
            <w:r>
              <w:rPr>
                <w:sz w:val="18"/>
                <w:szCs w:val="18"/>
              </w:rPr>
              <w:t xml:space="preserve">Aug 29</w:t>
            </w:r>
          </w:p>
        </w:tc>
        <w:tc>
          <w:tcPr>
            <w:tcW w:type="dxa" w:w="6600"/>
            <w:shd w:fill="F2F2F2" w:val="clear"/>
          </w:tcPr>
          <w:p>
            <w:r>
              <w:rPr>
                <w:sz w:val="18"/>
                <w:szCs w:val="18"/>
              </w:rPr>
              <w:t xml:space="preserve">Ran ARIMA across all 13 feasible machines. Retracted Step 8's headline finding: the “LSTM cost advantage” wasn't LSTM-specific -- ARIMA gets it too.</w:t>
            </w:r>
          </w:p>
        </w:tc>
      </w:tr>
      <w:tr>
        <w:tc>
          <w:tcPr>
            <w:tcW w:type="dxa" w:w="1000"/>
          </w:tcPr>
          <w:p>
            <w:r>
              <w:rPr>
                <w:b/>
                <w:bCs/>
                <w:sz w:val="18"/>
                <w:szCs w:val="18"/>
              </w:rPr>
              <w:t xml:space="preserve">12</w:t>
            </w:r>
          </w:p>
        </w:tc>
        <w:tc>
          <w:tcPr>
            <w:tcW w:type="dxa" w:w="1400"/>
          </w:tcPr>
          <w:p>
            <w:r>
              <w:rPr>
                <w:sz w:val="18"/>
                <w:szCs w:val="18"/>
              </w:rPr>
              <w:t xml:space="preserve">Aug 29</w:t>
            </w:r>
          </w:p>
        </w:tc>
        <w:tc>
          <w:tcPr>
            <w:tcW w:type="dxa" w:w="6600"/>
          </w:tcPr>
          <w:p>
            <w:r>
              <w:rPr>
                <w:sz w:val="18"/>
                <w:szCs w:val="18"/>
              </w:rPr>
              <w:t xml:space="preserve">Built a second, multistep-aware decision engine. Helps LSTM more than ARIMA, but doesn't overturn Step 11 on its own.</w:t>
            </w:r>
          </w:p>
        </w:tc>
      </w:tr>
      <w:tr>
        <w:tc>
          <w:tcPr>
            <w:tcW w:type="dxa" w:w="1000"/>
            <w:shd w:fill="F2F2F2" w:val="clear"/>
          </w:tcPr>
          <w:p>
            <w:r>
              <w:rPr>
                <w:b/>
                <w:bCs/>
                <w:sz w:val="18"/>
                <w:szCs w:val="18"/>
              </w:rPr>
              <w:t xml:space="preserve">13</w:t>
            </w:r>
          </w:p>
        </w:tc>
        <w:tc>
          <w:tcPr>
            <w:tcW w:type="dxa" w:w="1400"/>
            <w:shd w:fill="F2F2F2" w:val="clear"/>
          </w:tcPr>
          <w:p>
            <w:r>
              <w:rPr>
                <w:sz w:val="18"/>
                <w:szCs w:val="18"/>
              </w:rPr>
              <w:t xml:space="preserve">Aug 29</w:t>
            </w:r>
          </w:p>
        </w:tc>
        <w:tc>
          <w:tcPr>
            <w:tcW w:type="dxa" w:w="6600"/>
            <w:shd w:fill="F2F2F2" w:val="clear"/>
          </w:tcPr>
          <w:p>
            <w:r>
              <w:rPr>
                <w:sz w:val="18"/>
                <w:szCs w:val="18"/>
              </w:rPr>
              <w:t xml:space="preserve">Adversarial confound audit of Step 12's wins -- most of the “LSTM beats ARIMA under multistep” finding retracts under scrutiny.</w:t>
            </w:r>
          </w:p>
        </w:tc>
      </w:tr>
      <w:tr>
        <w:tc>
          <w:tcPr>
            <w:tcW w:type="dxa" w:w="1000"/>
          </w:tcPr>
          <w:p>
            <w:r>
              <w:rPr>
                <w:b/>
                <w:bCs/>
                <w:sz w:val="18"/>
                <w:szCs w:val="18"/>
              </w:rPr>
              <w:t xml:space="preserve">14</w:t>
            </w:r>
          </w:p>
        </w:tc>
        <w:tc>
          <w:tcPr>
            <w:tcW w:type="dxa" w:w="1400"/>
          </w:tcPr>
          <w:p>
            <w:r>
              <w:rPr>
                <w:sz w:val="18"/>
                <w:szCs w:val="18"/>
              </w:rPr>
              <w:t xml:space="preserve">Aug 29</w:t>
            </w:r>
          </w:p>
        </w:tc>
        <w:tc>
          <w:tcPr>
            <w:tcW w:type="dxa" w:w="6600"/>
          </w:tcPr>
          <w:p>
            <w:r>
              <w:rPr>
                <w:sz w:val="18"/>
                <w:szCs w:val="18"/>
              </w:rPr>
              <w:t xml:space="preserve">Deep audit of the one remaining candidate machine (m_2380) plus ARIMA re-selection and a multivariate LSTM attempt. Net result: 0 of 13 machines show a clean, defensible LSTM-specific win.</w:t>
            </w:r>
          </w:p>
        </w:tc>
      </w:tr>
      <w:tr>
        <w:tc>
          <w:tcPr>
            <w:tcW w:type="dxa" w:w="1000"/>
            <w:shd w:fill="F2F2F2" w:val="clear"/>
          </w:tcPr>
          <w:p>
            <w:r>
              <w:rPr>
                <w:b/>
                <w:bCs/>
                <w:sz w:val="18"/>
                <w:szCs w:val="18"/>
              </w:rPr>
              <w:t xml:space="preserve">15</w:t>
            </w:r>
          </w:p>
        </w:tc>
        <w:tc>
          <w:tcPr>
            <w:tcW w:type="dxa" w:w="1400"/>
            <w:shd w:fill="F2F2F2" w:val="clear"/>
          </w:tcPr>
          <w:p>
            <w:r>
              <w:rPr>
                <w:sz w:val="18"/>
                <w:szCs w:val="18"/>
              </w:rPr>
              <w:t xml:space="preserve">Aug 30</w:t>
            </w:r>
          </w:p>
        </w:tc>
        <w:tc>
          <w:tcPr>
            <w:tcW w:type="dxa" w:w="6600"/>
            <w:shd w:fill="F2F2F2" w:val="clear"/>
          </w:tcPr>
          <w:p>
            <w:r>
              <w:rPr>
                <w:sz w:val="18"/>
                <w:szCs w:val="18"/>
              </w:rPr>
              <w:t xml:space="preserve">Tried pooled training across a machine cluster instead of one model per machine. No net gain, and a new training-instability mode found.</w:t>
            </w:r>
          </w:p>
        </w:tc>
      </w:tr>
      <w:tr>
        <w:tc>
          <w:tcPr>
            <w:tcW w:type="dxa" w:w="1000"/>
          </w:tcPr>
          <w:p>
            <w:r>
              <w:rPr>
                <w:b/>
                <w:bCs/>
                <w:sz w:val="18"/>
                <w:szCs w:val="18"/>
              </w:rPr>
              <w:t xml:space="preserve">16</w:t>
            </w:r>
          </w:p>
        </w:tc>
        <w:tc>
          <w:tcPr>
            <w:tcW w:type="dxa" w:w="1400"/>
          </w:tcPr>
          <w:p>
            <w:r>
              <w:rPr>
                <w:sz w:val="18"/>
                <w:szCs w:val="18"/>
              </w:rPr>
              <w:t xml:space="preserve">Aug 30</w:t>
            </w:r>
          </w:p>
        </w:tc>
        <w:tc>
          <w:tcPr>
            <w:tcW w:type="dxa" w:w="6600"/>
          </w:tcPr>
          <w:p>
            <w:r>
              <w:rPr>
                <w:sz w:val="18"/>
                <w:szCs w:val="18"/>
              </w:rPr>
              <w:t xml:space="preserve">Residual hybrid (ARIMA + a learned residual correction): the first LSTM-related result to survive full adversarial scrutiny.</w:t>
            </w:r>
          </w:p>
        </w:tc>
      </w:tr>
      <w:tr>
        <w:tc>
          <w:tcPr>
            <w:tcW w:type="dxa" w:w="1000"/>
            <w:shd w:fill="F2F2F2" w:val="clear"/>
          </w:tcPr>
          <w:p>
            <w:r>
              <w:rPr>
                <w:b/>
                <w:bCs/>
                <w:sz w:val="18"/>
                <w:szCs w:val="18"/>
              </w:rPr>
              <w:t xml:space="preserve">17</w:t>
            </w:r>
          </w:p>
        </w:tc>
        <w:tc>
          <w:tcPr>
            <w:tcW w:type="dxa" w:w="1400"/>
            <w:shd w:fill="F2F2F2" w:val="clear"/>
          </w:tcPr>
          <w:p>
            <w:r>
              <w:rPr>
                <w:sz w:val="18"/>
                <w:szCs w:val="18"/>
              </w:rPr>
              <w:t xml:space="preserve">Aug 31</w:t>
            </w:r>
          </w:p>
        </w:tc>
        <w:tc>
          <w:tcPr>
            <w:tcW w:type="dxa" w:w="6600"/>
            <w:shd w:fill="F2F2F2" w:val="clear"/>
          </w:tcPr>
          <w:p>
            <w:r>
              <w:rPr>
                <w:sz w:val="18"/>
                <w:szCs w:val="18"/>
              </w:rPr>
              <w:t xml:space="preserve">Investigated why the hybrid works on the one machine it helps. The natural mechanistic hypothesis was falsified -- no clean predictor found. Recommendation: gate it empirically per machine, not by a rule.</w:t>
            </w:r>
          </w:p>
        </w:tc>
      </w:tr>
      <w:tr>
        <w:tc>
          <w:tcPr>
            <w:tcW w:type="dxa" w:w="1000"/>
          </w:tcPr>
          <w:p>
            <w:r>
              <w:rPr>
                <w:b/>
                <w:bCs/>
                <w:sz w:val="18"/>
                <w:szCs w:val="18"/>
              </w:rPr>
              <w:t xml:space="preserve">18</w:t>
            </w:r>
          </w:p>
        </w:tc>
        <w:tc>
          <w:tcPr>
            <w:tcW w:type="dxa" w:w="1400"/>
          </w:tcPr>
          <w:p>
            <w:r>
              <w:rPr>
                <w:sz w:val="18"/>
                <w:szCs w:val="18"/>
              </w:rPr>
              <w:t xml:space="preserve">Aug 31</w:t>
            </w:r>
          </w:p>
        </w:tc>
        <w:tc>
          <w:tcPr>
            <w:tcW w:type="dxa" w:w="6600"/>
          </w:tcPr>
          <w:p>
            <w:r>
              <w:rPr>
                <w:sz w:val="18"/>
                <w:szCs w:val="18"/>
              </w:rPr>
              <w:t xml:space="preserve">Built a shadow-mode evaluation harness: since no static predictor exists, watch each machine's real comparative performance over time instead.</w:t>
            </w:r>
          </w:p>
        </w:tc>
      </w:tr>
      <w:tr>
        <w:tc>
          <w:tcPr>
            <w:tcW w:type="dxa" w:w="1000"/>
            <w:shd w:fill="F2F2F2" w:val="clear"/>
          </w:tcPr>
          <w:p>
            <w:r>
              <w:rPr>
                <w:b/>
                <w:bCs/>
                <w:sz w:val="18"/>
                <w:szCs w:val="18"/>
              </w:rPr>
              <w:t xml:space="preserve">19</w:t>
            </w:r>
          </w:p>
        </w:tc>
        <w:tc>
          <w:tcPr>
            <w:tcW w:type="dxa" w:w="1400"/>
            <w:shd w:fill="F2F2F2" w:val="clear"/>
          </w:tcPr>
          <w:p>
            <w:r>
              <w:rPr>
                <w:sz w:val="18"/>
                <w:szCs w:val="18"/>
              </w:rPr>
              <w:t xml:space="preserve">Aug 31</w:t>
            </w:r>
          </w:p>
        </w:tc>
        <w:tc>
          <w:tcPr>
            <w:tcW w:type="dxa" w:w="6600"/>
            <w:shd w:fill="F2F2F2" w:val="clear"/>
          </w:tcPr>
          <w:p>
            <w:r>
              <w:rPr>
                <w:sz w:val="18"/>
                <w:szCs w:val="18"/>
              </w:rPr>
              <w:t xml:space="preserve">Made shadow state durable (SQLite) so it survives a restart -- a storage change, not a logic change.</w:t>
            </w:r>
          </w:p>
        </w:tc>
      </w:tr>
      <w:tr>
        <w:tc>
          <w:tcPr>
            <w:tcW w:type="dxa" w:w="1000"/>
          </w:tcPr>
          <w:p>
            <w:r>
              <w:rPr>
                <w:b/>
                <w:bCs/>
                <w:sz w:val="18"/>
                <w:szCs w:val="18"/>
              </w:rPr>
              <w:t xml:space="preserve">20</w:t>
            </w:r>
          </w:p>
        </w:tc>
        <w:tc>
          <w:tcPr>
            <w:tcW w:type="dxa" w:w="1400"/>
          </w:tcPr>
          <w:p>
            <w:r>
              <w:rPr>
                <w:sz w:val="18"/>
                <w:szCs w:val="18"/>
              </w:rPr>
              <w:t xml:space="preserve">Aug 31</w:t>
            </w:r>
          </w:p>
        </w:tc>
        <w:tc>
          <w:tcPr>
            <w:tcW w:type="dxa" w:w="6600"/>
          </w:tcPr>
          <w:p>
            <w:r>
              <w:rPr>
                <w:sz w:val="18"/>
                <w:szCs w:val="18"/>
              </w:rPr>
              <w:t xml:space="preserve">Defined a swappable metrics-ingestion interface, deliberately built before naming a real target system.</w:t>
            </w:r>
          </w:p>
        </w:tc>
      </w:tr>
      <w:tr>
        <w:tc>
          <w:tcPr>
            <w:tcW w:type="dxa" w:w="1000"/>
            <w:shd w:fill="F2F2F2" w:val="clear"/>
          </w:tcPr>
          <w:p>
            <w:r>
              <w:rPr>
                <w:b/>
                <w:bCs/>
                <w:sz w:val="18"/>
                <w:szCs w:val="18"/>
              </w:rPr>
              <w:t xml:space="preserve">21</w:t>
            </w:r>
          </w:p>
        </w:tc>
        <w:tc>
          <w:tcPr>
            <w:tcW w:type="dxa" w:w="1400"/>
            <w:shd w:fill="F2F2F2" w:val="clear"/>
          </w:tcPr>
          <w:p>
            <w:r>
              <w:rPr>
                <w:sz w:val="18"/>
                <w:szCs w:val="18"/>
              </w:rPr>
              <w:t xml:space="preserve">Sep 3</w:t>
            </w:r>
          </w:p>
        </w:tc>
        <w:tc>
          <w:tcPr>
            <w:tcW w:type="dxa" w:w="6600"/>
            <w:shd w:fill="F2F2F2" w:val="clear"/>
          </w:tcPr>
          <w:p>
            <w:r>
              <w:rPr>
                <w:sz w:val="18"/>
                <w:szCs w:val="18"/>
              </w:rPr>
              <w:t xml:space="preserve">Built the real connector: PrometheusMetricsSource, against a real Kubernetes cluster's kube-prometheus-stack.</w:t>
            </w:r>
          </w:p>
        </w:tc>
      </w:tr>
      <w:tr>
        <w:tc>
          <w:tcPr>
            <w:tcW w:type="dxa" w:w="1000"/>
          </w:tcPr>
          <w:p>
            <w:r>
              <w:rPr>
                <w:b/>
                <w:bCs/>
                <w:sz w:val="18"/>
                <w:szCs w:val="18"/>
              </w:rPr>
              <w:t xml:space="preserve">22</w:t>
            </w:r>
          </w:p>
        </w:tc>
        <w:tc>
          <w:tcPr>
            <w:tcW w:type="dxa" w:w="1400"/>
          </w:tcPr>
          <w:p>
            <w:r>
              <w:rPr>
                <w:sz w:val="18"/>
                <w:szCs w:val="18"/>
              </w:rPr>
              <w:t xml:space="preserve">Sep 3</w:t>
            </w:r>
          </w:p>
        </w:tc>
        <w:tc>
          <w:tcPr>
            <w:tcW w:type="dxa" w:w="6600"/>
          </w:tcPr>
          <w:p>
            <w:r>
              <w:rPr>
                <w:sz w:val="18"/>
                <w:szCs w:val="18"/>
              </w:rPr>
              <w:t xml:space="preserve">Built the live forecasting loop: a scheduled tick that pulls real history, forecasts, and logs a scaling decision, continuously.</w:t>
            </w:r>
          </w:p>
        </w:tc>
      </w:tr>
      <w:tr>
        <w:tc>
          <w:tcPr>
            <w:tcW w:type="dxa" w:w="1000"/>
            <w:shd w:fill="F2F2F2" w:val="clear"/>
          </w:tcPr>
          <w:p>
            <w:r>
              <w:rPr>
                <w:b/>
                <w:bCs/>
                <w:sz w:val="18"/>
                <w:szCs w:val="18"/>
              </w:rPr>
              <w:t xml:space="preserve">23</w:t>
            </w:r>
          </w:p>
        </w:tc>
        <w:tc>
          <w:tcPr>
            <w:tcW w:type="dxa" w:w="1400"/>
            <w:shd w:fill="F2F2F2" w:val="clear"/>
          </w:tcPr>
          <w:p>
            <w:r>
              <w:rPr>
                <w:sz w:val="18"/>
                <w:szCs w:val="18"/>
              </w:rPr>
              <w:t xml:space="preserve">Sep 3</w:t>
            </w:r>
          </w:p>
        </w:tc>
        <w:tc>
          <w:tcPr>
            <w:tcW w:type="dxa" w:w="6600"/>
            <w:shd w:fill="F2F2F2" w:val="clear"/>
          </w:tcPr>
          <w:p>
            <w:r>
              <w:rPr>
                <w:sz w:val="18"/>
                <w:szCs w:val="18"/>
              </w:rPr>
              <w:t xml:space="preserve">Packaged the loop to run inside the cluster itself: a Dockerfile and a minimal Kubernetes manifest (Namespace, PVC, Deployment, Service).</w:t>
            </w:r>
          </w:p>
        </w:tc>
      </w:tr>
      <w:tr>
        <w:tc>
          <w:tcPr>
            <w:tcW w:type="dxa" w:w="1000"/>
          </w:tcPr>
          <w:p>
            <w:r>
              <w:rPr>
                <w:b/>
                <w:bCs/>
                <w:sz w:val="18"/>
                <w:szCs w:val="18"/>
              </w:rPr>
              <w:t xml:space="preserve">24</w:t>
            </w:r>
          </w:p>
        </w:tc>
        <w:tc>
          <w:tcPr>
            <w:tcW w:type="dxa" w:w="1400"/>
          </w:tcPr>
          <w:p>
            <w:r>
              <w:rPr>
                <w:sz w:val="18"/>
                <w:szCs w:val="18"/>
              </w:rPr>
              <w:t xml:space="preserve">Sep 3</w:t>
            </w:r>
          </w:p>
        </w:tc>
        <w:tc>
          <w:tcPr>
            <w:tcW w:type="dxa" w:w="6600"/>
          </w:tcPr>
          <w:p>
            <w:r>
              <w:rPr>
                <w:sz w:val="18"/>
                <w:szCs w:val="18"/>
              </w:rPr>
              <w:t xml:space="preserve">Verified the real deployment against a real Docker Desktop Kubernetes cluster: pod healthy, real Prometheus data confirmed, persistent state confirmed being written.</w:t>
            </w:r>
          </w:p>
        </w:tc>
      </w:tr>
      <w:tr>
        <w:tc>
          <w:tcPr>
            <w:tcW w:type="dxa" w:w="1000"/>
            <w:shd w:fill="F2F2F2" w:val="clear"/>
          </w:tcPr>
          <w:p>
            <w:r>
              <w:rPr>
                <w:b/>
                <w:bCs/>
                <w:sz w:val="18"/>
                <w:szCs w:val="18"/>
              </w:rPr>
              <w:t xml:space="preserve">25</w:t>
            </w:r>
          </w:p>
        </w:tc>
        <w:tc>
          <w:tcPr>
            <w:tcW w:type="dxa" w:w="1400"/>
            <w:shd w:fill="F2F2F2" w:val="clear"/>
          </w:tcPr>
          <w:p>
            <w:r>
              <w:rPr>
                <w:sz w:val="18"/>
                <w:szCs w:val="18"/>
              </w:rPr>
              <w:t xml:space="preserve">Sep 3</w:t>
            </w:r>
          </w:p>
        </w:tc>
        <w:tc>
          <w:tcPr>
            <w:tcW w:type="dxa" w:w="6600"/>
            <w:shd w:fill="F2F2F2" w:val="clear"/>
          </w:tcPr>
          <w:p>
            <w:r>
              <w:rPr>
                <w:sz w:val="18"/>
                <w:szCs w:val="18"/>
              </w:rPr>
              <w:t xml:space="preserve">Traced and mechanically proved the shadow-scoring pipeline end-to-end with a clearly-labeled placeholder model; found and fixed two real production bugs and validated a real safety property (the assignment gate correctly reverted a forced assignment) along the way.</w:t>
            </w:r>
          </w:p>
        </w:tc>
      </w:tr>
    </w:tbl>
    <w:p>
      <w:pPr>
        <w:spacing w:before="200"/>
      </w:pPr>
      <w:r>
        <w:rPr>
          <w:i/>
          <w:iCs/>
          <w:color w:val="444444"/>
          <w:sz w:val="18"/>
          <w:szCs w:val="18"/>
        </w:rPr>
        <w:t xml:space="preserve">Full detail for every step lives in progress/ in the repository, one dated file per step.</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pPr>
    <w:rPr>
      <w:b/>
      <w:bCs/>
      <w:color w:val="1F1F1F"/>
      <w:sz w:val="30"/>
      <w:szCs w:val="30"/>
    </w:rPr>
  </w:style>
  <w:style w:type="paragraph" w:styleId="Heading2">
    <w:name w:val="Heading 2"/>
    <w:basedOn w:val="Normal"/>
    <w:next w:val="Normal"/>
    <w:pPr>
      <w:spacing w:after="120" w:before="260"/>
    </w:pPr>
    <w:rPr>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2026-09-03T17:30:51.123Z</dcterms:created>
  <dcterms:modified xsi:type="dcterms:W3CDTF">2026-09-03T17:30:51.141Z</dcterms:modified>
</cp:coreProperties>
</file>

<file path=docProps/custom.xml><?xml version="1.0" encoding="utf-8"?>
<Properties xmlns="http://schemas.openxmlformats.org/officeDocument/2006/custom-properties" xmlns:vt="http://schemas.openxmlformats.org/officeDocument/2006/docPropsVTypes"/>
</file>