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7"/>
          <w:sz w:val="44"/>
          <w:szCs w:val="44"/>
        </w:rPr>
        <w:t xml:space="preserve">LSTM AUTOSCALER</w:t>
      </w:r>
    </w:p>
    <w:p>
      <w:pPr>
        <w:spacing w:after="300"/>
      </w:pPr>
      <w:r>
        <w:rPr>
          <w:color w:val="2563EB"/>
          <w:sz w:val="28"/>
          <w:szCs w:val="28"/>
        </w:rPr>
        <w:t xml:space="preserve">Project Summary &amp; Current Limitations</w:t>
      </w:r>
    </w:p>
    <w:p>
      <w:pPr>
        <w:spacing w:after="40"/>
      </w:pPr>
      <w:r>
        <w:rPr>
          <w:color w:val="6B7280"/>
          <w:sz w:val="20"/>
          <w:szCs w:val="20"/>
        </w:rPr>
        <w:t xml:space="preserve">Prepared for Chinmay Raj</w:t>
      </w:r>
    </w:p>
    <w:p>
      <w:pPr>
        <w:spacing w:after="400"/>
      </w:pPr>
      <w:r>
        <w:rPr>
          <w:color w:val="6B7280"/>
          <w:sz w:val="20"/>
          <w:szCs w:val="20"/>
        </w:rPr>
        <w:t xml:space="preserve">August 30, 2026</w:t>
      </w:r>
    </w:p>
    <w:p>
      <w:pPr>
        <w:pBdr>
          <w:bottom w:val="single" w:color="D1D5DB" w:sz="6" w:space="1"/>
        </w:pBdr>
        <w:spacing w:after="200" w:before="100"/>
      </w:pPr>
      <w:r>
        <w:t xml:space="preserve"/>
      </w:r>
    </w:p>
    <w:p>
      <w:pPr>
        <w:pStyle w:val="Heading1"/>
        <w:spacing w:after="200" w:before="400"/>
      </w:pPr>
      <w:r>
        <w:t xml:space="preserve">Executive Summary</w:t>
      </w:r>
    </w:p>
    <w:p>
      <w:pPr>
        <w:spacing w:after="160" w:line="276"/>
      </w:pPr>
      <w:r>
        <w:t xml:space="preserve">This document summarizes the LSTM autoscaler project's work from Step 9 (the src/ package refactor) through Step 17 (the residual-hybrid mechanism investigation), plus the foundational Steps 1–8 that preceded it. The project builds a predictive fleet autoscaler that forecasts CPU demand and scales a server fleet ahead of need, compared throughout against a simple reactive threshold policy and a classical ARIMA forecaster.</w:t>
      </w:r>
    </w:p>
    <w:p>
      <w:pPr>
        <w:spacing w:after="160" w:line="276"/>
      </w:pPr>
      <w:r>
        <w:t xml:space="preserve">The central engineering story of this phase of the project is not a single result but a chain of self-corrections: across eight further rounds of testing (Steps 10–17), a claimed LSTM-specific cost advantage over ARIMA was found, then shown to be a tuning-asymmetry artifact, corrected, re-tested with genuinely different levers (richer input features, pooled training across machines, a residual-learning hybrid architecture), and narrowed down to one audited, robust result on a single machine out of thirteen, with no known rule for predicting which future machine would show the same effect.</w:t>
      </w:r>
    </w:p>
    <w:p>
      <w:pPr>
        <w:spacing w:after="160" w:line="276"/>
      </w:pPr>
      <w:r>
        <w:t xml:space="preserve">The LSTM-based approach remains the project's core technology and the one intended for production use; the ARIMA comparison work functions as a rigorous validation and robustness study, not a replacement of the project's premise. The next confirmed phase of work is containerization (Docker) and a real Kubernetes/KEDA deployment, to test the system in a real-world environment for the first time — every result to date has come from a simulated fleet model.</w:t>
      </w:r>
    </w:p>
    <w:p>
      <w:pPr>
        <w:pStyle w:val="Heading1"/>
        <w:spacing w:after="200" w:before="400"/>
      </w:pPr>
      <w:r>
        <w:t xml:space="preserve">1. Project Overview</w:t>
      </w:r>
    </w:p>
    <w:p>
      <w:pPr>
        <w:spacing w:after="160" w:line="276"/>
      </w:pPr>
      <w:r>
        <w:t xml:space="preserve">The system forecasts short-term CPU demand for a machine (or fleet) using historical utilization data from the Alibaba cluster-trace dataset, and uses that forecast to decide how many servers should be running. Two policies are compared throughout: a Reactive policy (adds/removes a server when load crosses a fixed threshold) and an LSTM-based predictive policy (forecasts 15 minutes ahead and scales pre-emptively, factoring in a fixed server-startup delay). A classical ARIMA(2,0,1) forecaster was introduced from Step 6 onward as a rigorous baseline for the LSTM specifically.</w:t>
      </w:r>
    </w:p>
    <w:p>
      <w:pPr>
        <w:spacing w:after="160" w:line="276"/>
      </w:pPr>
      <w:r>
        <w:t xml:space="preserve">Both policies are scored on the same simulated fleet (1–10 servers, fixed per-server capacity, a one-tick startup delay on scale-up) using two metrics: the rate of SLA violations (demand exceeding provisioned capacity) and a cost score (a weighted blend penalizing under-provisioning much more heavily than over-provisioning).</w:t>
      </w:r>
    </w:p>
    <w:p>
      <w:pPr>
        <w:pStyle w:val="Heading1"/>
        <w:spacing w:after="200" w:before="400"/>
      </w:pPr>
      <w:r>
        <w:t xml:space="preserve">2. Methodology &amp; Evaluation Discipline</w:t>
      </w:r>
    </w:p>
    <w:p>
      <w:pPr>
        <w:pStyle w:val="ListParagraph"/>
        <w:numPr>
          <w:ilvl w:val="0"/>
          <w:numId w:val="2"/>
        </w:numPr>
        <w:spacing w:after="160" w:line="276"/>
      </w:pPr>
      <w:r>
        <w:rPr>
          <w:b/>
          <w:bCs/>
        </w:rPr>
        <w:t xml:space="preserve">Chronological 60/20/20 split. </w:t>
      </w:r>
      <w:r>
        <w:t xml:space="preserve">Train, validation, and test are separated by time, never shuffled; the scaler and all tuning use train/validation only, and test is touched once per reported result.</w:t>
      </w:r>
    </w:p>
    <w:p>
      <w:pPr>
        <w:pStyle w:val="ListParagraph"/>
        <w:numPr>
          <w:ilvl w:val="0"/>
          <w:numId w:val="2"/>
        </w:numPr>
        <w:spacing w:after="160" w:line="276"/>
      </w:pPr>
      <w:r>
        <w:rPr>
          <w:b/>
          <w:bCs/>
        </w:rPr>
        <w:t xml:space="preserve">Symmetric tuning. </w:t>
      </w:r>
      <w:r>
        <w:t xml:space="preserve">Every policy compared — Reactive, LSTM, ARIMA — is grid-searched with the same discipline and the same effort. Every early false result in this project's history traced back to one policy being tuned harder than another; this rule exists specifically to prevent that.</w:t>
      </w:r>
    </w:p>
    <w:p>
      <w:pPr>
        <w:pStyle w:val="ListParagraph"/>
        <w:numPr>
          <w:ilvl w:val="0"/>
          <w:numId w:val="2"/>
        </w:numPr>
        <w:spacing w:after="160" w:line="276"/>
      </w:pPr>
      <w:r>
        <w:rPr>
          <w:b/>
          <w:bCs/>
        </w:rPr>
        <w:t xml:space="preserve">Multi-seed evaluation with a statistical bar. </w:t>
      </w:r>
      <w:r>
        <w:t xml:space="preserve">Stochastic policies (LSTM) are run across 5 seeds; a claimed advantage only counts as “confirmed” when the gap between two policies exceeds their combined ±1 standard deviation. Anything smaller is reported as “directional” or “tied,” not as a win.</w:t>
      </w:r>
    </w:p>
    <w:p>
      <w:pPr>
        <w:pStyle w:val="ListParagraph"/>
        <w:numPr>
          <w:ilvl w:val="0"/>
          <w:numId w:val="2"/>
        </w:numPr>
        <w:spacing w:after="160" w:line="276"/>
      </w:pPr>
      <w:r>
        <w:rPr>
          <w:b/>
          <w:bCs/>
        </w:rPr>
        <w:t xml:space="preserve">Confound auditing. </w:t>
      </w:r>
      <w:r>
        <w:t xml:space="preserve">Any single-machine result that looks like a genuine advantage is checked for known failure modes before being trusted: validation-to-test demand-ceiling growth (a threshold or parameter that was optimal on validation but doesn't generalize to test), counterfactual parameter swaps from cluster-mate machines, and per-seed consistency rather than only the mean.</w:t>
      </w:r>
    </w:p>
    <w:p>
      <w:pPr>
        <w:spacing w:after="160" w:line="276"/>
      </w:pPr>
      <w:r>
        <w:rPr>
          <w:i/>
          <w:iCs/>
        </w:rPr>
        <w:t xml:space="preserve">This discipline is why the project's headline numbers have moved as much as they have — not because the underlying data changed, but because each round of scrutiny found and corrected a real methodological gap.</w:t>
      </w:r>
    </w:p>
    <w:p>
      <w:pPr>
        <w:pStyle w:val="Heading1"/>
        <w:spacing w:after="200" w:before="400"/>
      </w:pPr>
      <w:r>
        <w:t xml:space="preserve">3. Timeline of Work</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400"/>
        <w:gridCol w:w="5400"/>
      </w:tblGrid>
      <w:tr>
        <w:trPr>
          <w:tblHeader/>
        </w:trPr>
        <w:tc>
          <w:tcPr>
            <w:tcW w:type="dxa" w:w="700"/>
            <w:shd w:fill="1F2937" w:val="clear"/>
            <w:tcMar>
              <w:top w:type="dxa" w:w="100"/>
              <w:left w:type="dxa" w:w="120"/>
              <w:bottom w:type="dxa" w:w="100"/>
              <w:right w:type="dxa" w:w="120"/>
            </w:tcMar>
          </w:tcPr>
          <w:p>
            <w:pPr>
              <w:jc w:val="left"/>
            </w:pPr>
            <w:r>
              <w:rPr>
                <w:b/>
                <w:bCs/>
                <w:color w:val="FFFFFF"/>
              </w:rPr>
              <w:t xml:space="preserve">Step</w:t>
            </w:r>
          </w:p>
        </w:tc>
        <w:tc>
          <w:tcPr>
            <w:tcW w:type="dxa" w:w="1000"/>
            <w:shd w:fill="1F2937" w:val="clear"/>
            <w:tcMar>
              <w:top w:type="dxa" w:w="100"/>
              <w:left w:type="dxa" w:w="120"/>
              <w:bottom w:type="dxa" w:w="100"/>
              <w:right w:type="dxa" w:w="120"/>
            </w:tcMar>
          </w:tcPr>
          <w:p>
            <w:pPr>
              <w:jc w:val="left"/>
            </w:pPr>
            <w:r>
              <w:rPr>
                <w:b/>
                <w:bCs/>
                <w:color w:val="FFFFFF"/>
              </w:rPr>
              <w:t xml:space="preserve">Date</w:t>
            </w:r>
          </w:p>
        </w:tc>
        <w:tc>
          <w:tcPr>
            <w:tcW w:type="dxa" w:w="3400"/>
            <w:shd w:fill="1F2937" w:val="clear"/>
            <w:tcMar>
              <w:top w:type="dxa" w:w="100"/>
              <w:left w:type="dxa" w:w="120"/>
              <w:bottom w:type="dxa" w:w="100"/>
              <w:right w:type="dxa" w:w="120"/>
            </w:tcMar>
          </w:tcPr>
          <w:p>
            <w:pPr>
              <w:jc w:val="left"/>
            </w:pPr>
            <w:r>
              <w:rPr>
                <w:b/>
                <w:bCs/>
                <w:color w:val="FFFFFF"/>
              </w:rPr>
              <w:t xml:space="preserve">What was done</w:t>
            </w:r>
          </w:p>
        </w:tc>
        <w:tc>
          <w:tcPr>
            <w:tcW w:type="dxa" w:w="5400"/>
            <w:shd w:fill="1F2937" w:val="clear"/>
            <w:tcMar>
              <w:top w:type="dxa" w:w="100"/>
              <w:left w:type="dxa" w:w="120"/>
              <w:bottom w:type="dxa" w:w="100"/>
              <w:right w:type="dxa" w:w="120"/>
            </w:tcMar>
          </w:tcPr>
          <w:p>
            <w:pPr>
              <w:jc w:val="left"/>
            </w:pPr>
            <w:r>
              <w:rPr>
                <w:b/>
                <w:bCs/>
                <w:color w:val="FFFFFF"/>
              </w:rPr>
              <w:t xml:space="preserve">Key result</w:t>
            </w:r>
          </w:p>
        </w:tc>
      </w:tr>
      <w:tr>
        <w:tc>
          <w:tcPr>
            <w:tcW w:type="dxa" w:w="700"/>
            <w:shd w:fill="FFFFFF" w:val="clear"/>
            <w:tcMar>
              <w:top w:type="dxa" w:w="100"/>
              <w:left w:type="dxa" w:w="120"/>
              <w:bottom w:type="dxa" w:w="100"/>
              <w:right w:type="dxa" w:w="120"/>
            </w:tcMar>
          </w:tcPr>
          <w:p>
            <w:pPr>
              <w:jc w:val="left"/>
            </w:pPr>
            <w:r>
              <w:rPr>
                <w:b w:val="false"/>
                <w:bCs w:val="false"/>
                <w:color w:val="111827"/>
              </w:rPr>
              <w:t xml:space="preserve">1</w:t>
            </w:r>
          </w:p>
        </w:tc>
        <w:tc>
          <w:tcPr>
            <w:tcW w:type="dxa" w:w="1000"/>
            <w:shd w:fill="FFFFFF" w:val="clear"/>
            <w:tcMar>
              <w:top w:type="dxa" w:w="100"/>
              <w:left w:type="dxa" w:w="120"/>
              <w:bottom w:type="dxa" w:w="100"/>
              <w:right w:type="dxa" w:w="120"/>
            </w:tcMar>
          </w:tcPr>
          <w:p>
            <w:pPr>
              <w:jc w:val="left"/>
            </w:pPr>
            <w:r>
              <w:rPr>
                <w:b w:val="false"/>
                <w:bCs w:val="false"/>
                <w:color w:val="111827"/>
              </w:rPr>
              <w:t xml:space="preserve">Aug 25</w:t>
            </w:r>
          </w:p>
        </w:tc>
        <w:tc>
          <w:tcPr>
            <w:tcW w:type="dxa" w:w="3400"/>
            <w:shd w:fill="FFFFFF" w:val="clear"/>
            <w:tcMar>
              <w:top w:type="dxa" w:w="100"/>
              <w:left w:type="dxa" w:w="120"/>
              <w:bottom w:type="dxa" w:w="100"/>
              <w:right w:type="dxa" w:w="120"/>
            </w:tcMar>
          </w:tcPr>
          <w:p>
            <w:pPr>
              <w:jc w:val="left"/>
            </w:pPr>
            <w:r>
              <w:rPr>
                <w:b/>
                <w:bCs/>
                <w:color w:val="111827"/>
              </w:rPr>
              <w:t xml:space="preserve">Leakage fix + naive baseline</w:t>
            </w:r>
          </w:p>
        </w:tc>
        <w:tc>
          <w:tcPr>
            <w:tcW w:type="dxa" w:w="5400"/>
            <w:shd w:fill="FFFFFF" w:val="clear"/>
            <w:tcMar>
              <w:top w:type="dxa" w:w="100"/>
              <w:left w:type="dxa" w:w="120"/>
              <w:bottom w:type="dxa" w:w="100"/>
              <w:right w:type="dxa" w:w="120"/>
            </w:tcMar>
          </w:tcPr>
          <w:p>
            <w:pPr>
              <w:jc w:val="left"/>
            </w:pPr>
            <w:r>
              <w:rPr>
                <w:b w:val="false"/>
                <w:bCs w:val="false"/>
                <w:color w:val="111827"/>
              </w:rPr>
              <w:t xml:space="preserve">Fixed scaler leakage; LSTM beats naive by 23% RMSE (real signal, first time)</w:t>
            </w:r>
          </w:p>
        </w:tc>
      </w:tr>
      <w:tr>
        <w:tc>
          <w:tcPr>
            <w:tcW w:type="dxa" w:w="700"/>
            <w:shd w:fill="F3F4F6" w:val="clear"/>
            <w:tcMar>
              <w:top w:type="dxa" w:w="100"/>
              <w:left w:type="dxa" w:w="120"/>
              <w:bottom w:type="dxa" w:w="100"/>
              <w:right w:type="dxa" w:w="120"/>
            </w:tcMar>
          </w:tcPr>
          <w:p>
            <w:pPr>
              <w:jc w:val="left"/>
            </w:pPr>
            <w:r>
              <w:rPr>
                <w:b w:val="false"/>
                <w:bCs w:val="false"/>
                <w:color w:val="111827"/>
              </w:rPr>
              <w:t xml:space="preserve">2</w:t>
            </w:r>
          </w:p>
        </w:tc>
        <w:tc>
          <w:tcPr>
            <w:tcW w:type="dxa" w:w="1000"/>
            <w:shd w:fill="F3F4F6" w:val="clear"/>
            <w:tcMar>
              <w:top w:type="dxa" w:w="100"/>
              <w:left w:type="dxa" w:w="120"/>
              <w:bottom w:type="dxa" w:w="100"/>
              <w:right w:type="dxa" w:w="120"/>
            </w:tcMar>
          </w:tcPr>
          <w:p>
            <w:pPr>
              <w:jc w:val="left"/>
            </w:pPr>
            <w:r>
              <w:rPr>
                <w:b w:val="false"/>
                <w:bCs w:val="false"/>
                <w:color w:val="111827"/>
              </w:rPr>
              <w:t xml:space="preserve">Aug 26</w:t>
            </w:r>
          </w:p>
        </w:tc>
        <w:tc>
          <w:tcPr>
            <w:tcW w:type="dxa" w:w="3400"/>
            <w:shd w:fill="F3F4F6" w:val="clear"/>
            <w:tcMar>
              <w:top w:type="dxa" w:w="100"/>
              <w:left w:type="dxa" w:w="120"/>
              <w:bottom w:type="dxa" w:w="100"/>
              <w:right w:type="dxa" w:w="120"/>
            </w:tcMar>
          </w:tcPr>
          <w:p>
            <w:pPr>
              <w:jc w:val="left"/>
            </w:pPr>
            <w:r>
              <w:rPr>
                <w:b/>
                <w:bCs/>
                <w:color w:val="111827"/>
              </w:rPr>
              <w:t xml:space="preserve">Multi-seed harness</w:t>
            </w:r>
          </w:p>
        </w:tc>
        <w:tc>
          <w:tcPr>
            <w:tcW w:type="dxa" w:w="5400"/>
            <w:shd w:fill="F3F4F6" w:val="clear"/>
            <w:tcMar>
              <w:top w:type="dxa" w:w="100"/>
              <w:left w:type="dxa" w:w="120"/>
              <w:bottom w:type="dxa" w:w="100"/>
              <w:right w:type="dxa" w:w="120"/>
            </w:tcMar>
          </w:tcPr>
          <w:p>
            <w:pPr>
              <w:jc w:val="left"/>
            </w:pPr>
            <w:r>
              <w:rPr>
                <w:b w:val="false"/>
                <w:bCs w:val="false"/>
                <w:color w:val="111827"/>
              </w:rPr>
              <w:t xml:space="preserve">Looked like LSTM cost win — later found to be a tuning-asymmetry artifact</w:t>
            </w:r>
          </w:p>
        </w:tc>
      </w:tr>
      <w:tr>
        <w:tc>
          <w:tcPr>
            <w:tcW w:type="dxa" w:w="700"/>
            <w:shd w:fill="FFFFFF" w:val="clear"/>
            <w:tcMar>
              <w:top w:type="dxa" w:w="100"/>
              <w:left w:type="dxa" w:w="120"/>
              <w:bottom w:type="dxa" w:w="100"/>
              <w:right w:type="dxa" w:w="120"/>
            </w:tcMar>
          </w:tcPr>
          <w:p>
            <w:pPr>
              <w:jc w:val="left"/>
            </w:pPr>
            <w:r>
              <w:rPr>
                <w:b w:val="false"/>
                <w:bCs w:val="false"/>
                <w:color w:val="111827"/>
              </w:rPr>
              <w:t xml:space="preserve">3</w:t>
            </w:r>
          </w:p>
        </w:tc>
        <w:tc>
          <w:tcPr>
            <w:tcW w:type="dxa" w:w="1000"/>
            <w:shd w:fill="FFFFFF" w:val="clear"/>
            <w:tcMar>
              <w:top w:type="dxa" w:w="100"/>
              <w:left w:type="dxa" w:w="120"/>
              <w:bottom w:type="dxa" w:w="100"/>
              <w:right w:type="dxa" w:w="120"/>
            </w:tcMar>
          </w:tcPr>
          <w:p>
            <w:pPr>
              <w:jc w:val="left"/>
            </w:pPr>
            <w:r>
              <w:rPr>
                <w:b w:val="false"/>
                <w:bCs w:val="false"/>
                <w:color w:val="111827"/>
              </w:rPr>
              <w:t xml:space="preserve">Aug 27</w:t>
            </w:r>
          </w:p>
        </w:tc>
        <w:tc>
          <w:tcPr>
            <w:tcW w:type="dxa" w:w="3400"/>
            <w:shd w:fill="FFFFFF" w:val="clear"/>
            <w:tcMar>
              <w:top w:type="dxa" w:w="100"/>
              <w:left w:type="dxa" w:w="120"/>
              <w:bottom w:type="dxa" w:w="100"/>
              <w:right w:type="dxa" w:w="120"/>
            </w:tcMar>
          </w:tcPr>
          <w:p>
            <w:pPr>
              <w:jc w:val="left"/>
            </w:pPr>
            <w:r>
              <w:rPr>
                <w:b/>
                <w:bCs/>
                <w:color w:val="111827"/>
              </w:rPr>
              <w:t xml:space="preserve">Symmetric baseline tuning</w:t>
            </w:r>
          </w:p>
        </w:tc>
        <w:tc>
          <w:tcPr>
            <w:tcW w:type="dxa" w:w="5400"/>
            <w:shd w:fill="FFFFFF" w:val="clear"/>
            <w:tcMar>
              <w:top w:type="dxa" w:w="100"/>
              <w:left w:type="dxa" w:w="120"/>
              <w:bottom w:type="dxa" w:w="100"/>
              <w:right w:type="dxa" w:w="120"/>
            </w:tcMar>
          </w:tcPr>
          <w:p>
            <w:pPr>
              <w:jc w:val="left"/>
            </w:pPr>
            <w:r>
              <w:rPr>
                <w:b w:val="false"/>
                <w:bCs w:val="false"/>
                <w:color w:val="111827"/>
              </w:rPr>
              <w:t xml:space="preserve">Reversed: fairly-tuned Reactive beats LSTM outright on all 5 seeds</w:t>
            </w:r>
          </w:p>
        </w:tc>
      </w:tr>
      <w:tr>
        <w:tc>
          <w:tcPr>
            <w:tcW w:type="dxa" w:w="700"/>
            <w:shd w:fill="F3F4F6" w:val="clear"/>
            <w:tcMar>
              <w:top w:type="dxa" w:w="100"/>
              <w:left w:type="dxa" w:w="120"/>
              <w:bottom w:type="dxa" w:w="100"/>
              <w:right w:type="dxa" w:w="120"/>
            </w:tcMar>
          </w:tcPr>
          <w:p>
            <w:pPr>
              <w:jc w:val="left"/>
            </w:pPr>
            <w:r>
              <w:rPr>
                <w:b w:val="false"/>
                <w:bCs w:val="false"/>
                <w:color w:val="111827"/>
              </w:rPr>
              <w:t xml:space="preserve">4–5</w:t>
            </w:r>
          </w:p>
        </w:tc>
        <w:tc>
          <w:tcPr>
            <w:tcW w:type="dxa" w:w="1000"/>
            <w:shd w:fill="F3F4F6" w:val="clear"/>
            <w:tcMar>
              <w:top w:type="dxa" w:w="100"/>
              <w:left w:type="dxa" w:w="120"/>
              <w:bottom w:type="dxa" w:w="100"/>
              <w:right w:type="dxa" w:w="120"/>
            </w:tcMar>
          </w:tcPr>
          <w:p>
            <w:pPr>
              <w:jc w:val="left"/>
            </w:pPr>
            <w:r>
              <w:rPr>
                <w:b w:val="false"/>
                <w:bCs w:val="false"/>
                <w:color w:val="111827"/>
              </w:rPr>
              <w:t xml:space="preserve">Aug 27</w:t>
            </w:r>
          </w:p>
        </w:tc>
        <w:tc>
          <w:tcPr>
            <w:tcW w:type="dxa" w:w="3400"/>
            <w:shd w:fill="F3F4F6" w:val="clear"/>
            <w:tcMar>
              <w:top w:type="dxa" w:w="100"/>
              <w:left w:type="dxa" w:w="120"/>
              <w:bottom w:type="dxa" w:w="100"/>
              <w:right w:type="dxa" w:w="120"/>
            </w:tcMar>
          </w:tcPr>
          <w:p>
            <w:pPr>
              <w:jc w:val="left"/>
            </w:pPr>
            <w:r>
              <w:rPr>
                <w:b/>
                <w:bCs/>
                <w:color w:val="111827"/>
              </w:rPr>
              <w:t xml:space="preserve">Multi-machine + demand-scale calibration</w:t>
            </w:r>
          </w:p>
        </w:tc>
        <w:tc>
          <w:tcPr>
            <w:tcW w:type="dxa" w:w="5400"/>
            <w:shd w:fill="F3F4F6" w:val="clear"/>
            <w:tcMar>
              <w:top w:type="dxa" w:w="100"/>
              <w:left w:type="dxa" w:w="120"/>
              <w:bottom w:type="dxa" w:w="100"/>
              <w:right w:type="dxa" w:w="120"/>
            </w:tcMar>
          </w:tcPr>
          <w:p>
            <w:pPr>
              <w:jc w:val="left"/>
            </w:pPr>
            <w:r>
              <w:rPr>
                <w:b w:val="false"/>
                <w:bCs w:val="false"/>
                <w:color w:val="111827"/>
              </w:rPr>
              <w:t xml:space="preserve">First confirmed LSTM cost advantage (2 machines); one apparent SLA win retracted as a capacity-ceiling artifact</w:t>
            </w:r>
          </w:p>
        </w:tc>
      </w:tr>
      <w:tr>
        <w:tc>
          <w:tcPr>
            <w:tcW w:type="dxa" w:w="700"/>
            <w:shd w:fill="FFFFFF" w:val="clear"/>
            <w:tcMar>
              <w:top w:type="dxa" w:w="100"/>
              <w:left w:type="dxa" w:w="120"/>
              <w:bottom w:type="dxa" w:w="100"/>
              <w:right w:type="dxa" w:w="120"/>
            </w:tcMar>
          </w:tcPr>
          <w:p>
            <w:pPr>
              <w:jc w:val="left"/>
            </w:pPr>
            <w:r>
              <w:rPr>
                <w:b w:val="false"/>
                <w:bCs w:val="false"/>
                <w:color w:val="111827"/>
              </w:rPr>
              <w:t xml:space="preserve">6</w:t>
            </w:r>
          </w:p>
        </w:tc>
        <w:tc>
          <w:tcPr>
            <w:tcW w:type="dxa" w:w="1000"/>
            <w:shd w:fill="FFFFFF" w:val="clear"/>
            <w:tcMar>
              <w:top w:type="dxa" w:w="100"/>
              <w:left w:type="dxa" w:w="120"/>
              <w:bottom w:type="dxa" w:w="100"/>
              <w:right w:type="dxa" w:w="120"/>
            </w:tcMar>
          </w:tcPr>
          <w:p>
            <w:pPr>
              <w:jc w:val="left"/>
            </w:pPr>
            <w:r>
              <w:rPr>
                <w:b w:val="false"/>
                <w:bCs w:val="false"/>
                <w:color w:val="111827"/>
              </w:rPr>
              <w:t xml:space="preserve">Aug 27</w:t>
            </w:r>
          </w:p>
        </w:tc>
        <w:tc>
          <w:tcPr>
            <w:tcW w:type="dxa" w:w="3400"/>
            <w:shd w:fill="FFFFFF" w:val="clear"/>
            <w:tcMar>
              <w:top w:type="dxa" w:w="100"/>
              <w:left w:type="dxa" w:w="120"/>
              <w:bottom w:type="dxa" w:w="100"/>
              <w:right w:type="dxa" w:w="120"/>
            </w:tcMar>
          </w:tcPr>
          <w:p>
            <w:pPr>
              <w:jc w:val="left"/>
            </w:pPr>
            <w:r>
              <w:rPr>
                <w:b/>
                <w:bCs/>
                <w:color w:val="111827"/>
              </w:rPr>
              <w:t xml:space="preserve">ARIMA baseline + sweep</w:t>
            </w:r>
          </w:p>
        </w:tc>
        <w:tc>
          <w:tcPr>
            <w:tcW w:type="dxa" w:w="5400"/>
            <w:shd w:fill="FFFFFF" w:val="clear"/>
            <w:tcMar>
              <w:top w:type="dxa" w:w="100"/>
              <w:left w:type="dxa" w:w="120"/>
              <w:bottom w:type="dxa" w:w="100"/>
              <w:right w:type="dxa" w:w="120"/>
            </w:tcMar>
          </w:tcPr>
          <w:p>
            <w:pPr>
              <w:jc w:val="left"/>
            </w:pPr>
            <w:r>
              <w:rPr>
                <w:b w:val="false"/>
                <w:bCs w:val="false"/>
                <w:color w:val="111827"/>
              </w:rPr>
              <w:t xml:space="preserve">ARIMA ties LSTM on RMSE; horizon/lookback sweet spot found (15 min / 30 min)</w:t>
            </w:r>
          </w:p>
        </w:tc>
      </w:tr>
      <w:tr>
        <w:tc>
          <w:tcPr>
            <w:tcW w:type="dxa" w:w="700"/>
            <w:shd w:fill="F3F4F6" w:val="clear"/>
            <w:tcMar>
              <w:top w:type="dxa" w:w="100"/>
              <w:left w:type="dxa" w:w="120"/>
              <w:bottom w:type="dxa" w:w="100"/>
              <w:right w:type="dxa" w:w="120"/>
            </w:tcMar>
          </w:tcPr>
          <w:p>
            <w:pPr>
              <w:jc w:val="left"/>
            </w:pPr>
            <w:r>
              <w:rPr>
                <w:b w:val="false"/>
                <w:bCs w:val="false"/>
                <w:color w:val="111827"/>
              </w:rPr>
              <w:t xml:space="preserve">8</w:t>
            </w:r>
          </w:p>
        </w:tc>
        <w:tc>
          <w:tcPr>
            <w:tcW w:type="dxa" w:w="1000"/>
            <w:shd w:fill="F3F4F6" w:val="clear"/>
            <w:tcMar>
              <w:top w:type="dxa" w:w="100"/>
              <w:left w:type="dxa" w:w="120"/>
              <w:bottom w:type="dxa" w:w="100"/>
              <w:right w:type="dxa" w:w="120"/>
            </w:tcMar>
          </w:tcPr>
          <w:p>
            <w:pPr>
              <w:jc w:val="left"/>
            </w:pPr>
            <w:r>
              <w:rPr>
                <w:b w:val="false"/>
                <w:bCs w:val="false"/>
                <w:color w:val="111827"/>
              </w:rPr>
              <w:t xml:space="preserve">Aug 27</w:t>
            </w:r>
          </w:p>
        </w:tc>
        <w:tc>
          <w:tcPr>
            <w:tcW w:type="dxa" w:w="3400"/>
            <w:shd w:fill="F3F4F6" w:val="clear"/>
            <w:tcMar>
              <w:top w:type="dxa" w:w="100"/>
              <w:left w:type="dxa" w:w="120"/>
              <w:bottom w:type="dxa" w:w="100"/>
              <w:right w:type="dxa" w:w="120"/>
            </w:tcMar>
          </w:tcPr>
          <w:p>
            <w:pPr>
              <w:jc w:val="left"/>
            </w:pPr>
            <w:r>
              <w:rPr>
                <w:b/>
                <w:bCs/>
                <w:color w:val="111827"/>
              </w:rPr>
              <w:t xml:space="preserve">Expanded multi-machine (13 feasible)</w:t>
            </w:r>
          </w:p>
        </w:tc>
        <w:tc>
          <w:tcPr>
            <w:tcW w:type="dxa" w:w="5400"/>
            <w:shd w:fill="F3F4F6" w:val="clear"/>
            <w:tcMar>
              <w:top w:type="dxa" w:w="100"/>
              <w:left w:type="dxa" w:w="120"/>
              <w:bottom w:type="dxa" w:w="100"/>
              <w:right w:type="dxa" w:w="120"/>
            </w:tcMar>
          </w:tcPr>
          <w:p>
            <w:pPr>
              <w:jc w:val="left"/>
            </w:pPr>
            <w:r>
              <w:rPr>
                <w:b w:val="false"/>
                <w:bCs w:val="false"/>
                <w:color w:val="111827"/>
              </w:rPr>
              <w:t xml:space="preserve">LSTM cost advantage generalizes to 10/13 machines vs. Reactive; trade-off pattern established (LSTM=cost, Reactive=SLA)</w:t>
            </w:r>
          </w:p>
        </w:tc>
      </w:tr>
      <w:tr>
        <w:tc>
          <w:tcPr>
            <w:tcW w:type="dxa" w:w="700"/>
            <w:shd w:fill="FFFFFF" w:val="clear"/>
            <w:tcMar>
              <w:top w:type="dxa" w:w="100"/>
              <w:left w:type="dxa" w:w="120"/>
              <w:bottom w:type="dxa" w:w="100"/>
              <w:right w:type="dxa" w:w="120"/>
            </w:tcMar>
          </w:tcPr>
          <w:p>
            <w:pPr>
              <w:jc w:val="left"/>
            </w:pPr>
            <w:r>
              <w:rPr>
                <w:b w:val="false"/>
                <w:bCs w:val="false"/>
                <w:color w:val="111827"/>
              </w:rPr>
              <w:t xml:space="preserve">9</w:t>
            </w:r>
          </w:p>
        </w:tc>
        <w:tc>
          <w:tcPr>
            <w:tcW w:type="dxa" w:w="1000"/>
            <w:shd w:fill="FFFFFF" w:val="clear"/>
            <w:tcMar>
              <w:top w:type="dxa" w:w="100"/>
              <w:left w:type="dxa" w:w="120"/>
              <w:bottom w:type="dxa" w:w="100"/>
              <w:right w:type="dxa" w:w="120"/>
            </w:tcMar>
          </w:tcPr>
          <w:p>
            <w:pPr>
              <w:jc w:val="left"/>
            </w:pPr>
            <w:r>
              <w:rPr>
                <w:b w:val="false"/>
                <w:bCs w:val="false"/>
                <w:color w:val="111827"/>
              </w:rPr>
              <w:t xml:space="preserve">Aug 29</w:t>
            </w:r>
          </w:p>
        </w:tc>
        <w:tc>
          <w:tcPr>
            <w:tcW w:type="dxa" w:w="3400"/>
            <w:shd w:fill="FFFFFF" w:val="clear"/>
            <w:tcMar>
              <w:top w:type="dxa" w:w="100"/>
              <w:left w:type="dxa" w:w="120"/>
              <w:bottom w:type="dxa" w:w="100"/>
              <w:right w:type="dxa" w:w="120"/>
            </w:tcMar>
          </w:tcPr>
          <w:p>
            <w:pPr>
              <w:jc w:val="left"/>
            </w:pPr>
            <w:r>
              <w:rPr>
                <w:b/>
                <w:bCs/>
                <w:color w:val="111827"/>
              </w:rPr>
              <w:t xml:space="preserve">src/ package refactor + pytest suite</w:t>
            </w:r>
          </w:p>
        </w:tc>
        <w:tc>
          <w:tcPr>
            <w:tcW w:type="dxa" w:w="5400"/>
            <w:shd w:fill="FFFFFF" w:val="clear"/>
            <w:tcMar>
              <w:top w:type="dxa" w:w="100"/>
              <w:left w:type="dxa" w:w="120"/>
              <w:bottom w:type="dxa" w:w="100"/>
              <w:right w:type="dxa" w:w="120"/>
            </w:tcMar>
          </w:tcPr>
          <w:p>
            <w:pPr>
              <w:jc w:val="left"/>
            </w:pPr>
            <w:r>
              <w:rPr>
                <w:b w:val="false"/>
                <w:bCs w:val="false"/>
                <w:color w:val="111827"/>
              </w:rPr>
              <w:t xml:space="preserve">515-line untested script → tested src/autoscaler package, 25 passing tests, no numeric behavior changed</w:t>
            </w:r>
          </w:p>
        </w:tc>
      </w:tr>
      <w:tr>
        <w:tc>
          <w:tcPr>
            <w:tcW w:type="dxa" w:w="700"/>
            <w:shd w:fill="F3F4F6" w:val="clear"/>
            <w:tcMar>
              <w:top w:type="dxa" w:w="100"/>
              <w:left w:type="dxa" w:w="120"/>
              <w:bottom w:type="dxa" w:w="100"/>
              <w:right w:type="dxa" w:w="120"/>
            </w:tcMar>
          </w:tcPr>
          <w:p>
            <w:pPr>
              <w:jc w:val="left"/>
            </w:pPr>
            <w:r>
              <w:rPr>
                <w:b w:val="false"/>
                <w:bCs w:val="false"/>
                <w:color w:val="111827"/>
              </w:rPr>
              <w:t xml:space="preserve">10</w:t>
            </w:r>
          </w:p>
        </w:tc>
        <w:tc>
          <w:tcPr>
            <w:tcW w:type="dxa" w:w="1000"/>
            <w:shd w:fill="F3F4F6" w:val="clear"/>
            <w:tcMar>
              <w:top w:type="dxa" w:w="100"/>
              <w:left w:type="dxa" w:w="120"/>
              <w:bottom w:type="dxa" w:w="100"/>
              <w:right w:type="dxa" w:w="120"/>
            </w:tcMar>
          </w:tcPr>
          <w:p>
            <w:pPr>
              <w:jc w:val="left"/>
            </w:pPr>
            <w:r>
              <w:rPr>
                <w:b w:val="false"/>
                <w:bCs w:val="false"/>
                <w:color w:val="111827"/>
              </w:rPr>
              <w:t xml:space="preserve">Aug 29</w:t>
            </w:r>
          </w:p>
        </w:tc>
        <w:tc>
          <w:tcPr>
            <w:tcW w:type="dxa" w:w="3400"/>
            <w:shd w:fill="F3F4F6" w:val="clear"/>
            <w:tcMar>
              <w:top w:type="dxa" w:w="100"/>
              <w:left w:type="dxa" w:w="120"/>
              <w:bottom w:type="dxa" w:w="100"/>
              <w:right w:type="dxa" w:w="120"/>
            </w:tcMar>
          </w:tcPr>
          <w:p>
            <w:pPr>
              <w:jc w:val="left"/>
            </w:pPr>
            <w:r>
              <w:rPr>
                <w:b/>
                <w:bCs/>
                <w:color w:val="111827"/>
              </w:rPr>
              <w:t xml:space="preserve">ARIMA wired into the simulator</w:t>
            </w:r>
          </w:p>
        </w:tc>
        <w:tc>
          <w:tcPr>
            <w:tcW w:type="dxa" w:w="5400"/>
            <w:shd w:fill="F3F4F6" w:val="clear"/>
            <w:tcMar>
              <w:top w:type="dxa" w:w="100"/>
              <w:left w:type="dxa" w:w="120"/>
              <w:bottom w:type="dxa" w:w="100"/>
              <w:right w:type="dxa" w:w="120"/>
            </w:tcMar>
          </w:tcPr>
          <w:p>
            <w:pPr>
              <w:jc w:val="left"/>
            </w:pPr>
            <w:r>
              <w:rPr>
                <w:b w:val="false"/>
                <w:bCs w:val="false"/>
                <w:color w:val="111827"/>
              </w:rPr>
              <w:t xml:space="preserve">On m_2189 — Step 8's clearest LSTM win — ARIMA beats LSTM too. m_2085's “LSTM wins both” explained as a tuning-generalization artifact, not a real effect</w:t>
            </w:r>
          </w:p>
        </w:tc>
      </w:tr>
      <w:tr>
        <w:tc>
          <w:tcPr>
            <w:tcW w:type="dxa" w:w="700"/>
            <w:shd w:fill="FFFFFF" w:val="clear"/>
            <w:tcMar>
              <w:top w:type="dxa" w:w="100"/>
              <w:left w:type="dxa" w:w="120"/>
              <w:bottom w:type="dxa" w:w="100"/>
              <w:right w:type="dxa" w:w="120"/>
            </w:tcMar>
          </w:tcPr>
          <w:p>
            <w:pPr>
              <w:jc w:val="left"/>
            </w:pPr>
            <w:r>
              <w:rPr>
                <w:b w:val="false"/>
                <w:bCs w:val="false"/>
                <w:color w:val="111827"/>
              </w:rPr>
              <w:t xml:space="preserve">11</w:t>
            </w:r>
          </w:p>
        </w:tc>
        <w:tc>
          <w:tcPr>
            <w:tcW w:type="dxa" w:w="1000"/>
            <w:shd w:fill="FFFFFF" w:val="clear"/>
            <w:tcMar>
              <w:top w:type="dxa" w:w="100"/>
              <w:left w:type="dxa" w:w="120"/>
              <w:bottom w:type="dxa" w:w="100"/>
              <w:right w:type="dxa" w:w="120"/>
            </w:tcMar>
          </w:tcPr>
          <w:p>
            <w:pPr>
              <w:jc w:val="left"/>
            </w:pPr>
            <w:r>
              <w:rPr>
                <w:b w:val="false"/>
                <w:bCs w:val="false"/>
                <w:color w:val="111827"/>
              </w:rPr>
              <w:t xml:space="preserve">Aug 29</w:t>
            </w:r>
          </w:p>
        </w:tc>
        <w:tc>
          <w:tcPr>
            <w:tcW w:type="dxa" w:w="3400"/>
            <w:shd w:fill="FFFFFF" w:val="clear"/>
            <w:tcMar>
              <w:top w:type="dxa" w:w="100"/>
              <w:left w:type="dxa" w:w="120"/>
              <w:bottom w:type="dxa" w:w="100"/>
              <w:right w:type="dxa" w:w="120"/>
            </w:tcMar>
          </w:tcPr>
          <w:p>
            <w:pPr>
              <w:jc w:val="left"/>
            </w:pPr>
            <w:r>
              <w:rPr>
                <w:b/>
                <w:bCs/>
                <w:color w:val="111827"/>
              </w:rPr>
              <w:t xml:space="preserve">ARIMA across all 13 feasible machines</w:t>
            </w:r>
          </w:p>
        </w:tc>
        <w:tc>
          <w:tcPr>
            <w:tcW w:type="dxa" w:w="5400"/>
            <w:shd w:fill="FFFFFF" w:val="clear"/>
            <w:tcMar>
              <w:top w:type="dxa" w:w="100"/>
              <w:left w:type="dxa" w:w="120"/>
              <w:bottom w:type="dxa" w:w="100"/>
              <w:right w:type="dxa" w:w="120"/>
            </w:tcMar>
          </w:tcPr>
          <w:p>
            <w:pPr>
              <w:jc w:val="left"/>
            </w:pPr>
            <w:r>
              <w:rPr>
                <w:b w:val="false"/>
                <w:bCs w:val="false"/>
                <w:color w:val="111827"/>
              </w:rPr>
              <w:t xml:space="preserve">Step 8's LSTM cost advantage retracted as LSTM-specific — any reasonable forecaster gets it, not just LSTM</w:t>
            </w:r>
          </w:p>
        </w:tc>
      </w:tr>
      <w:tr>
        <w:tc>
          <w:tcPr>
            <w:tcW w:type="dxa" w:w="700"/>
            <w:shd w:fill="F3F4F6" w:val="clear"/>
            <w:tcMar>
              <w:top w:type="dxa" w:w="100"/>
              <w:left w:type="dxa" w:w="120"/>
              <w:bottom w:type="dxa" w:w="100"/>
              <w:right w:type="dxa" w:w="120"/>
            </w:tcMar>
          </w:tcPr>
          <w:p>
            <w:pPr>
              <w:jc w:val="left"/>
            </w:pPr>
            <w:r>
              <w:rPr>
                <w:b w:val="false"/>
                <w:bCs w:val="false"/>
                <w:color w:val="111827"/>
              </w:rPr>
              <w:t xml:space="preserve">12</w:t>
            </w:r>
          </w:p>
        </w:tc>
        <w:tc>
          <w:tcPr>
            <w:tcW w:type="dxa" w:w="1000"/>
            <w:shd w:fill="F3F4F6" w:val="clear"/>
            <w:tcMar>
              <w:top w:type="dxa" w:w="100"/>
              <w:left w:type="dxa" w:w="120"/>
              <w:bottom w:type="dxa" w:w="100"/>
              <w:right w:type="dxa" w:w="120"/>
            </w:tcMar>
          </w:tcPr>
          <w:p>
            <w:pPr>
              <w:jc w:val="left"/>
            </w:pPr>
            <w:r>
              <w:rPr>
                <w:b w:val="false"/>
                <w:bCs w:val="false"/>
                <w:color w:val="111827"/>
              </w:rPr>
              <w:t xml:space="preserve">Aug 29</w:t>
            </w:r>
          </w:p>
        </w:tc>
        <w:tc>
          <w:tcPr>
            <w:tcW w:type="dxa" w:w="3400"/>
            <w:shd w:fill="F3F4F6" w:val="clear"/>
            <w:tcMar>
              <w:top w:type="dxa" w:w="100"/>
              <w:left w:type="dxa" w:w="120"/>
              <w:bottom w:type="dxa" w:w="100"/>
              <w:right w:type="dxa" w:w="120"/>
            </w:tcMar>
          </w:tcPr>
          <w:p>
            <w:pPr>
              <w:jc w:val="left"/>
            </w:pPr>
            <w:r>
              <w:rPr>
                <w:b/>
                <w:bCs/>
                <w:color w:val="111827"/>
              </w:rPr>
              <w:t xml:space="preserve">Multi-step-aware decision engine</w:t>
            </w:r>
          </w:p>
        </w:tc>
        <w:tc>
          <w:tcPr>
            <w:tcW w:type="dxa" w:w="5400"/>
            <w:shd w:fill="F3F4F6" w:val="clear"/>
            <w:tcMar>
              <w:top w:type="dxa" w:w="100"/>
              <w:left w:type="dxa" w:w="120"/>
              <w:bottom w:type="dxa" w:w="100"/>
              <w:right w:type="dxa" w:w="120"/>
            </w:tcMar>
          </w:tcPr>
          <w:p>
            <w:pPr>
              <w:jc w:val="left"/>
            </w:pPr>
            <w:r>
              <w:rPr>
                <w:b w:val="false"/>
                <w:bCs w:val="false"/>
                <w:color w:val="111827"/>
              </w:rPr>
              <w:t xml:space="preserve">LSTM confirmed cheaper than ARIMA rises 1/13 → 5/13 (initially reported — later found partly inflated, see Step 13)</w:t>
            </w:r>
          </w:p>
        </w:tc>
      </w:tr>
      <w:tr>
        <w:tc>
          <w:tcPr>
            <w:tcW w:type="dxa" w:w="700"/>
            <w:shd w:fill="FFFFFF" w:val="clear"/>
            <w:tcMar>
              <w:top w:type="dxa" w:w="100"/>
              <w:left w:type="dxa" w:w="120"/>
              <w:bottom w:type="dxa" w:w="100"/>
              <w:right w:type="dxa" w:w="120"/>
            </w:tcMar>
          </w:tcPr>
          <w:p>
            <w:pPr>
              <w:jc w:val="left"/>
            </w:pPr>
            <w:r>
              <w:rPr>
                <w:b w:val="false"/>
                <w:bCs w:val="false"/>
                <w:color w:val="111827"/>
              </w:rPr>
              <w:t xml:space="preserve">13</w:t>
            </w:r>
          </w:p>
        </w:tc>
        <w:tc>
          <w:tcPr>
            <w:tcW w:type="dxa" w:w="1000"/>
            <w:shd w:fill="FFFFFF" w:val="clear"/>
            <w:tcMar>
              <w:top w:type="dxa" w:w="100"/>
              <w:left w:type="dxa" w:w="120"/>
              <w:bottom w:type="dxa" w:w="100"/>
              <w:right w:type="dxa" w:w="120"/>
            </w:tcMar>
          </w:tcPr>
          <w:p>
            <w:pPr>
              <w:jc w:val="left"/>
            </w:pPr>
            <w:r>
              <w:rPr>
                <w:b w:val="false"/>
                <w:bCs w:val="false"/>
                <w:color w:val="111827"/>
              </w:rPr>
              <w:t xml:space="preserve">Aug 30</w:t>
            </w:r>
          </w:p>
        </w:tc>
        <w:tc>
          <w:tcPr>
            <w:tcW w:type="dxa" w:w="3400"/>
            <w:shd w:fill="FFFFFF" w:val="clear"/>
            <w:tcMar>
              <w:top w:type="dxa" w:w="100"/>
              <w:left w:type="dxa" w:w="120"/>
              <w:bottom w:type="dxa" w:w="100"/>
              <w:right w:type="dxa" w:w="120"/>
            </w:tcMar>
          </w:tcPr>
          <w:p>
            <w:pPr>
              <w:jc w:val="left"/>
            </w:pPr>
            <w:r>
              <w:rPr>
                <w:b/>
                <w:bCs/>
                <w:color w:val="111827"/>
              </w:rPr>
              <w:t xml:space="preserve">Confound audit + horizon_weights fairness fix</w:t>
            </w:r>
          </w:p>
        </w:tc>
        <w:tc>
          <w:tcPr>
            <w:tcW w:type="dxa" w:w="5400"/>
            <w:shd w:fill="FFFFFF" w:val="clear"/>
            <w:tcMar>
              <w:top w:type="dxa" w:w="100"/>
              <w:left w:type="dxa" w:w="120"/>
              <w:bottom w:type="dxa" w:w="100"/>
              <w:right w:type="dxa" w:w="120"/>
            </w:tcMar>
          </w:tcPr>
          <w:p>
            <w:pPr>
              <w:jc w:val="left"/>
            </w:pPr>
            <w:r>
              <w:rPr>
                <w:b w:val="false"/>
                <w:bCs w:val="false"/>
                <w:color w:val="111827"/>
              </w:rPr>
              <w:t xml:space="preserve">The 5/13 was partly an unfair-tuning artifact (ARIMA denied the same weighting freedom LSTM had); corrected → 2/13</w:t>
            </w:r>
          </w:p>
        </w:tc>
      </w:tr>
      <w:tr>
        <w:tc>
          <w:tcPr>
            <w:tcW w:type="dxa" w:w="700"/>
            <w:shd w:fill="F3F4F6" w:val="clear"/>
            <w:tcMar>
              <w:top w:type="dxa" w:w="100"/>
              <w:left w:type="dxa" w:w="120"/>
              <w:bottom w:type="dxa" w:w="100"/>
              <w:right w:type="dxa" w:w="120"/>
            </w:tcMar>
          </w:tcPr>
          <w:p>
            <w:pPr>
              <w:jc w:val="left"/>
            </w:pPr>
            <w:r>
              <w:rPr>
                <w:b w:val="false"/>
                <w:bCs w:val="false"/>
                <w:color w:val="111827"/>
              </w:rPr>
              <w:t xml:space="preserve">14</w:t>
            </w:r>
          </w:p>
        </w:tc>
        <w:tc>
          <w:tcPr>
            <w:tcW w:type="dxa" w:w="1000"/>
            <w:shd w:fill="F3F4F6" w:val="clear"/>
            <w:tcMar>
              <w:top w:type="dxa" w:w="100"/>
              <w:left w:type="dxa" w:w="120"/>
              <w:bottom w:type="dxa" w:w="100"/>
              <w:right w:type="dxa" w:w="120"/>
            </w:tcMar>
          </w:tcPr>
          <w:p>
            <w:pPr>
              <w:jc w:val="left"/>
            </w:pPr>
            <w:r>
              <w:rPr>
                <w:b w:val="false"/>
                <w:bCs w:val="false"/>
                <w:color w:val="111827"/>
              </w:rPr>
              <w:t xml:space="preserve">Aug 30</w:t>
            </w:r>
          </w:p>
        </w:tc>
        <w:tc>
          <w:tcPr>
            <w:tcW w:type="dxa" w:w="3400"/>
            <w:shd w:fill="F3F4F6" w:val="clear"/>
            <w:tcMar>
              <w:top w:type="dxa" w:w="100"/>
              <w:left w:type="dxa" w:w="120"/>
              <w:bottom w:type="dxa" w:w="100"/>
              <w:right w:type="dxa" w:w="120"/>
            </w:tcMar>
          </w:tcPr>
          <w:p>
            <w:pPr>
              <w:jc w:val="left"/>
            </w:pPr>
            <w:r>
              <w:rPr>
                <w:b/>
                <w:bCs/>
                <w:color w:val="111827"/>
              </w:rPr>
              <w:t xml:space="preserve">m_2380 audit, ARIMA order re-selection, multivariate LSTM features</w:t>
            </w:r>
          </w:p>
        </w:tc>
        <w:tc>
          <w:tcPr>
            <w:tcW w:type="dxa" w:w="5400"/>
            <w:shd w:fill="F3F4F6" w:val="clear"/>
            <w:tcMar>
              <w:top w:type="dxa" w:w="100"/>
              <w:left w:type="dxa" w:w="120"/>
              <w:bottom w:type="dxa" w:w="100"/>
              <w:right w:type="dxa" w:w="120"/>
            </w:tcMar>
          </w:tcPr>
          <w:p>
            <w:pPr>
              <w:jc w:val="left"/>
            </w:pPr>
            <w:r>
              <w:rPr>
                <w:b w:val="false"/>
                <w:bCs w:val="false"/>
                <w:color w:val="111827"/>
              </w:rPr>
              <w:t xml:space="preserve">m_2380 fails its own swap test → 0/13 confirmed LSTM-specific wins. Richer LSTM input features made results broadly worse (data-scarcity overfitting)</w:t>
            </w:r>
          </w:p>
        </w:tc>
      </w:tr>
      <w:tr>
        <w:tc>
          <w:tcPr>
            <w:tcW w:type="dxa" w:w="700"/>
            <w:shd w:fill="FFFFFF" w:val="clear"/>
            <w:tcMar>
              <w:top w:type="dxa" w:w="100"/>
              <w:left w:type="dxa" w:w="120"/>
              <w:bottom w:type="dxa" w:w="100"/>
              <w:right w:type="dxa" w:w="120"/>
            </w:tcMar>
          </w:tcPr>
          <w:p>
            <w:pPr>
              <w:jc w:val="left"/>
            </w:pPr>
            <w:r>
              <w:rPr>
                <w:b w:val="false"/>
                <w:bCs w:val="false"/>
                <w:color w:val="111827"/>
              </w:rPr>
              <w:t xml:space="preserve">15</w:t>
            </w:r>
          </w:p>
        </w:tc>
        <w:tc>
          <w:tcPr>
            <w:tcW w:type="dxa" w:w="1000"/>
            <w:shd w:fill="FFFFFF" w:val="clear"/>
            <w:tcMar>
              <w:top w:type="dxa" w:w="100"/>
              <w:left w:type="dxa" w:w="120"/>
              <w:bottom w:type="dxa" w:w="100"/>
              <w:right w:type="dxa" w:w="120"/>
            </w:tcMar>
          </w:tcPr>
          <w:p>
            <w:pPr>
              <w:jc w:val="left"/>
            </w:pPr>
            <w:r>
              <w:rPr>
                <w:b w:val="false"/>
                <w:bCs w:val="false"/>
                <w:color w:val="111827"/>
              </w:rPr>
              <w:t xml:space="preserve">Aug 30</w:t>
            </w:r>
          </w:p>
        </w:tc>
        <w:tc>
          <w:tcPr>
            <w:tcW w:type="dxa" w:w="3400"/>
            <w:shd w:fill="FFFFFF" w:val="clear"/>
            <w:tcMar>
              <w:top w:type="dxa" w:w="100"/>
              <w:left w:type="dxa" w:w="120"/>
              <w:bottom w:type="dxa" w:w="100"/>
              <w:right w:type="dxa" w:w="120"/>
            </w:tcMar>
          </w:tcPr>
          <w:p>
            <w:pPr>
              <w:jc w:val="left"/>
            </w:pPr>
            <w:r>
              <w:rPr>
                <w:b/>
                <w:bCs/>
                <w:color w:val="111827"/>
              </w:rPr>
              <w:t xml:space="preserve">Pooled / transfer-learning training across a machine cluster</w:t>
            </w:r>
          </w:p>
        </w:tc>
        <w:tc>
          <w:tcPr>
            <w:tcW w:type="dxa" w:w="5400"/>
            <w:shd w:fill="FFFFFF" w:val="clear"/>
            <w:tcMar>
              <w:top w:type="dxa" w:w="100"/>
              <w:left w:type="dxa" w:w="120"/>
              <w:bottom w:type="dxa" w:w="100"/>
              <w:right w:type="dxa" w:w="120"/>
            </w:tcMar>
          </w:tcPr>
          <w:p>
            <w:pPr>
              <w:jc w:val="left"/>
            </w:pPr>
            <w:r>
              <w:rPr>
                <w:b w:val="false"/>
                <w:bCs w:val="false"/>
                <w:color w:val="111827"/>
              </w:rPr>
              <w:t xml:space="preserve">No net accuracy gain; a new instability mode found (one pretraining seed produced near-catastrophic results on out-of-cluster machines)</w:t>
            </w:r>
          </w:p>
        </w:tc>
      </w:tr>
      <w:tr>
        <w:tc>
          <w:tcPr>
            <w:tcW w:type="dxa" w:w="700"/>
            <w:shd w:fill="F3F4F6" w:val="clear"/>
            <w:tcMar>
              <w:top w:type="dxa" w:w="100"/>
              <w:left w:type="dxa" w:w="120"/>
              <w:bottom w:type="dxa" w:w="100"/>
              <w:right w:type="dxa" w:w="120"/>
            </w:tcMar>
          </w:tcPr>
          <w:p>
            <w:pPr>
              <w:jc w:val="left"/>
            </w:pPr>
            <w:r>
              <w:rPr>
                <w:b w:val="false"/>
                <w:bCs w:val="false"/>
                <w:color w:val="111827"/>
              </w:rPr>
              <w:t xml:space="preserve">16</w:t>
            </w:r>
          </w:p>
        </w:tc>
        <w:tc>
          <w:tcPr>
            <w:tcW w:type="dxa" w:w="1000"/>
            <w:shd w:fill="F3F4F6" w:val="clear"/>
            <w:tcMar>
              <w:top w:type="dxa" w:w="100"/>
              <w:left w:type="dxa" w:w="120"/>
              <w:bottom w:type="dxa" w:w="100"/>
              <w:right w:type="dxa" w:w="120"/>
            </w:tcMar>
          </w:tcPr>
          <w:p>
            <w:pPr>
              <w:jc w:val="left"/>
            </w:pPr>
            <w:r>
              <w:rPr>
                <w:b w:val="false"/>
                <w:bCs w:val="false"/>
                <w:color w:val="111827"/>
              </w:rPr>
              <w:t xml:space="preserve">Aug 30</w:t>
            </w:r>
          </w:p>
        </w:tc>
        <w:tc>
          <w:tcPr>
            <w:tcW w:type="dxa" w:w="3400"/>
            <w:shd w:fill="F3F4F6" w:val="clear"/>
            <w:tcMar>
              <w:top w:type="dxa" w:w="100"/>
              <w:left w:type="dxa" w:w="120"/>
              <w:bottom w:type="dxa" w:w="100"/>
              <w:right w:type="dxa" w:w="120"/>
            </w:tcMar>
          </w:tcPr>
          <w:p>
            <w:pPr>
              <w:jc w:val="left"/>
            </w:pPr>
            <w:r>
              <w:rPr>
                <w:b/>
                <w:bCs/>
                <w:color w:val="111827"/>
              </w:rPr>
              <w:t xml:space="preserve">Residual hybrid (ARIMA + LSTM on ARIMA's residuals)</w:t>
            </w:r>
          </w:p>
        </w:tc>
        <w:tc>
          <w:tcPr>
            <w:tcW w:type="dxa" w:w="5400"/>
            <w:shd w:fill="F3F4F6" w:val="clear"/>
            <w:tcMar>
              <w:top w:type="dxa" w:w="100"/>
              <w:left w:type="dxa" w:w="120"/>
              <w:bottom w:type="dxa" w:w="100"/>
              <w:right w:type="dxa" w:w="120"/>
            </w:tcMar>
          </w:tcPr>
          <w:p>
            <w:pPr>
              <w:jc w:val="left"/>
            </w:pPr>
            <w:r>
              <w:rPr>
                <w:b w:val="false"/>
                <w:bCs w:val="false"/>
                <w:color w:val="111827"/>
              </w:rPr>
              <w:t xml:space="preserve">1/13 robust win (m_2104, survives full audit), 2/13 fragile-but-real, 1/13 inherited false positive, 9/13 nothing</w:t>
            </w:r>
          </w:p>
        </w:tc>
      </w:tr>
      <w:tr>
        <w:tc>
          <w:tcPr>
            <w:tcW w:type="dxa" w:w="700"/>
            <w:shd w:fill="FFFFFF" w:val="clear"/>
            <w:tcMar>
              <w:top w:type="dxa" w:w="100"/>
              <w:left w:type="dxa" w:w="120"/>
              <w:bottom w:type="dxa" w:w="100"/>
              <w:right w:type="dxa" w:w="120"/>
            </w:tcMar>
          </w:tcPr>
          <w:p>
            <w:pPr>
              <w:jc w:val="left"/>
            </w:pPr>
            <w:r>
              <w:rPr>
                <w:b w:val="false"/>
                <w:bCs w:val="false"/>
                <w:color w:val="111827"/>
              </w:rPr>
              <w:t xml:space="preserve">17</w:t>
            </w:r>
          </w:p>
        </w:tc>
        <w:tc>
          <w:tcPr>
            <w:tcW w:type="dxa" w:w="1000"/>
            <w:shd w:fill="FFFFFF" w:val="clear"/>
            <w:tcMar>
              <w:top w:type="dxa" w:w="100"/>
              <w:left w:type="dxa" w:w="120"/>
              <w:bottom w:type="dxa" w:w="100"/>
              <w:right w:type="dxa" w:w="120"/>
            </w:tcMar>
          </w:tcPr>
          <w:p>
            <w:pPr>
              <w:jc w:val="left"/>
            </w:pPr>
            <w:r>
              <w:rPr>
                <w:b w:val="false"/>
                <w:bCs w:val="false"/>
                <w:color w:val="111827"/>
              </w:rPr>
              <w:t xml:space="preserve">Aug 30</w:t>
            </w:r>
          </w:p>
        </w:tc>
        <w:tc>
          <w:tcPr>
            <w:tcW w:type="dxa" w:w="3400"/>
            <w:shd w:fill="FFFFFF" w:val="clear"/>
            <w:tcMar>
              <w:top w:type="dxa" w:w="100"/>
              <w:left w:type="dxa" w:w="120"/>
              <w:bottom w:type="dxa" w:w="100"/>
              <w:right w:type="dxa" w:w="120"/>
            </w:tcMar>
          </w:tcPr>
          <w:p>
            <w:pPr>
              <w:jc w:val="left"/>
            </w:pPr>
            <w:r>
              <w:rPr>
                <w:b/>
                <w:bCs/>
                <w:color w:val="111827"/>
              </w:rPr>
              <w:t xml:space="preserve">Mechanism investigation for m_2104</w:t>
            </w:r>
          </w:p>
        </w:tc>
        <w:tc>
          <w:tcPr>
            <w:tcW w:type="dxa" w:w="5400"/>
            <w:shd w:fill="FFFFFF" w:val="clear"/>
            <w:tcMar>
              <w:top w:type="dxa" w:w="100"/>
              <w:left w:type="dxa" w:w="120"/>
              <w:bottom w:type="dxa" w:w="100"/>
              <w:right w:type="dxa" w:w="120"/>
            </w:tcMar>
          </w:tcPr>
          <w:p>
            <w:pPr>
              <w:jc w:val="left"/>
            </w:pPr>
            <w:r>
              <w:rPr>
                <w:b w:val="false"/>
                <w:bCs w:val="false"/>
                <w:color w:val="111827"/>
              </w:rPr>
              <w:t xml:space="preserve">Hypothesis (ARIMA underfit → room for LSTM) was wrong and inverted; no predictor found. Draft production recommendation written (not shipped)</w:t>
            </w:r>
          </w:p>
        </w:tc>
      </w:tr>
    </w:tbl>
    <w:p>
      <w:pPr>
        <w:pStyle w:val="Heading1"/>
        <w:spacing w:after="200" w:before="400"/>
      </w:pPr>
      <w:r>
        <w:t xml:space="preserve">4. The Core Finding: How “LSTM Wins” Narrowed Under Scrutiny</w:t>
      </w:r>
    </w:p>
    <w:p>
      <w:pPr>
        <w:spacing w:after="160" w:line="276"/>
      </w:pPr>
      <w:r>
        <w:t xml:space="preserve">The single most important pattern across this project is that every apparent LSTM-specific advantage over ARIMA, when tested hard enough, either evaporated or shrank to a small, well-understood residual. The table below tracks the head-to-head count through the project's most recent phase (Steps 10–17):</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tblGrid>
      <w:tr>
        <w:trPr>
          <w:tblHeader/>
        </w:trPr>
        <w:tc>
          <w:tcPr>
            <w:tcW w:type="dxa" w:w="3200"/>
            <w:shd w:fill="1F2937" w:val="clear"/>
            <w:tcMar>
              <w:top w:type="dxa" w:w="100"/>
              <w:left w:type="dxa" w:w="120"/>
              <w:bottom w:type="dxa" w:w="100"/>
              <w:right w:type="dxa" w:w="120"/>
            </w:tcMar>
          </w:tcPr>
          <w:p>
            <w:pPr>
              <w:jc w:val="left"/>
            </w:pPr>
            <w:r>
              <w:rPr>
                <w:b/>
                <w:bCs/>
                <w:color w:val="FFFFFF"/>
              </w:rPr>
              <w:t xml:space="preserve">Stage</w:t>
            </w:r>
          </w:p>
        </w:tc>
        <w:tc>
          <w:tcPr>
            <w:tcW w:type="dxa" w:w="2400"/>
            <w:shd w:fill="1F2937" w:val="clear"/>
            <w:tcMar>
              <w:top w:type="dxa" w:w="100"/>
              <w:left w:type="dxa" w:w="120"/>
              <w:bottom w:type="dxa" w:w="100"/>
              <w:right w:type="dxa" w:w="120"/>
            </w:tcMar>
          </w:tcPr>
          <w:p>
            <w:pPr>
              <w:jc w:val="left"/>
            </w:pPr>
            <w:r>
              <w:rPr>
                <w:b/>
                <w:bCs/>
                <w:color w:val="FFFFFF"/>
              </w:rPr>
              <w:t xml:space="preserve">LSTM confirmed cheaper than ARIMA</w:t>
            </w:r>
          </w:p>
        </w:tc>
        <w:tc>
          <w:tcPr>
            <w:tcW w:type="dxa" w:w="2400"/>
            <w:shd w:fill="1F2937" w:val="clear"/>
            <w:tcMar>
              <w:top w:type="dxa" w:w="100"/>
              <w:left w:type="dxa" w:w="120"/>
              <w:bottom w:type="dxa" w:w="100"/>
              <w:right w:type="dxa" w:w="120"/>
            </w:tcMar>
          </w:tcPr>
          <w:p>
            <w:pPr>
              <w:jc w:val="left"/>
            </w:pPr>
            <w:r>
              <w:rPr>
                <w:b/>
                <w:bCs/>
                <w:color w:val="FFFFFF"/>
              </w:rPr>
              <w:t xml:space="preserve">Cause of the change</w:t>
            </w:r>
          </w:p>
        </w:tc>
      </w:tr>
      <w:tr>
        <w:tc>
          <w:tcPr>
            <w:tcW w:type="dxa" w:w="3200"/>
            <w:tcMar>
              <w:top w:type="dxa" w:w="100"/>
              <w:left w:type="dxa" w:w="120"/>
              <w:bottom w:type="dxa" w:w="100"/>
              <w:right w:type="dxa" w:w="120"/>
            </w:tcMar>
          </w:tcPr>
          <w:p>
            <w:pPr>
              <w:jc w:val="left"/>
            </w:pPr>
            <w:r>
              <w:rPr>
                <w:b w:val="false"/>
                <w:bCs w:val="false"/>
                <w:color w:val="111827"/>
              </w:rPr>
              <w:t xml:space="preserve">Step 10 (3 machines)</w:t>
            </w:r>
          </w:p>
        </w:tc>
        <w:tc>
          <w:tcPr>
            <w:tcW w:type="dxa" w:w="2400"/>
            <w:tcMar>
              <w:top w:type="dxa" w:w="100"/>
              <w:left w:type="dxa" w:w="120"/>
              <w:bottom w:type="dxa" w:w="100"/>
              <w:right w:type="dxa" w:w="120"/>
            </w:tcMar>
          </w:tcPr>
          <w:p>
            <w:pPr>
              <w:jc w:val="center"/>
            </w:pPr>
            <w:r>
              <w:rPr>
                <w:b w:val="false"/>
                <w:bCs w:val="false"/>
                <w:color w:val="111827"/>
              </w:rPr>
              <w:t xml:space="preserve">0 / 3</w:t>
            </w:r>
          </w:p>
        </w:tc>
        <w:tc>
          <w:tcPr>
            <w:tcW w:type="dxa" w:w="2400"/>
            <w:tcMar>
              <w:top w:type="dxa" w:w="100"/>
              <w:left w:type="dxa" w:w="120"/>
              <w:bottom w:type="dxa" w:w="100"/>
              <w:right w:type="dxa" w:w="120"/>
            </w:tcMar>
          </w:tcPr>
          <w:p>
            <w:pPr>
              <w:jc w:val="left"/>
            </w:pPr>
            <w:r>
              <w:rPr>
                <w:b w:val="false"/>
                <w:bCs w:val="false"/>
                <w:color w:val="111827"/>
              </w:rPr>
              <w:t xml:space="preserve">Baseline check</w:t>
            </w:r>
          </w:p>
        </w:tc>
      </w:tr>
      <w:tr>
        <w:tc>
          <w:tcPr>
            <w:tcW w:type="dxa" w:w="3200"/>
            <w:shd w:fill="F3F4F6" w:val="clear"/>
            <w:tcMar>
              <w:top w:type="dxa" w:w="100"/>
              <w:left w:type="dxa" w:w="120"/>
              <w:bottom w:type="dxa" w:w="100"/>
              <w:right w:type="dxa" w:w="120"/>
            </w:tcMar>
          </w:tcPr>
          <w:p>
            <w:pPr>
              <w:jc w:val="left"/>
            </w:pPr>
            <w:r>
              <w:rPr>
                <w:b w:val="false"/>
                <w:bCs w:val="false"/>
                <w:color w:val="111827"/>
              </w:rPr>
              <w:t xml:space="preserve">Step 12 (multistep engine, first report)</w:t>
            </w:r>
          </w:p>
        </w:tc>
        <w:tc>
          <w:tcPr>
            <w:tcW w:type="dxa" w:w="2400"/>
            <w:shd w:fill="F3F4F6" w:val="clear"/>
            <w:tcMar>
              <w:top w:type="dxa" w:w="100"/>
              <w:left w:type="dxa" w:w="120"/>
              <w:bottom w:type="dxa" w:w="100"/>
              <w:right w:type="dxa" w:w="120"/>
            </w:tcMar>
          </w:tcPr>
          <w:p>
            <w:pPr>
              <w:jc w:val="center"/>
            </w:pPr>
            <w:r>
              <w:rPr>
                <w:b w:val="false"/>
                <w:bCs w:val="false"/>
                <w:color w:val="111827"/>
              </w:rPr>
              <w:t xml:space="preserve">5 / 13</w:t>
            </w:r>
          </w:p>
        </w:tc>
        <w:tc>
          <w:tcPr>
            <w:tcW w:type="dxa" w:w="2400"/>
            <w:shd w:fill="F3F4F6" w:val="clear"/>
            <w:tcMar>
              <w:top w:type="dxa" w:w="100"/>
              <w:left w:type="dxa" w:w="120"/>
              <w:bottom w:type="dxa" w:w="100"/>
              <w:right w:type="dxa" w:w="120"/>
            </w:tcMar>
          </w:tcPr>
          <w:p>
            <w:pPr>
              <w:jc w:val="left"/>
            </w:pPr>
            <w:r>
              <w:rPr>
                <w:b w:val="false"/>
                <w:bCs w:val="false"/>
                <w:color w:val="111827"/>
              </w:rPr>
              <w:t xml:space="preserve">New decision engine — not yet audited</w:t>
            </w:r>
          </w:p>
        </w:tc>
      </w:tr>
      <w:tr>
        <w:tc>
          <w:tcPr>
            <w:tcW w:type="dxa" w:w="3200"/>
            <w:tcMar>
              <w:top w:type="dxa" w:w="100"/>
              <w:left w:type="dxa" w:w="120"/>
              <w:bottom w:type="dxa" w:w="100"/>
              <w:right w:type="dxa" w:w="120"/>
            </w:tcMar>
          </w:tcPr>
          <w:p>
            <w:pPr>
              <w:jc w:val="left"/>
            </w:pPr>
            <w:r>
              <w:rPr>
                <w:b w:val="false"/>
                <w:bCs w:val="false"/>
                <w:color w:val="111827"/>
              </w:rPr>
              <w:t xml:space="preserve">Step 13 (fair horizon_weights)</w:t>
            </w:r>
          </w:p>
        </w:tc>
        <w:tc>
          <w:tcPr>
            <w:tcW w:type="dxa" w:w="2400"/>
            <w:tcMar>
              <w:top w:type="dxa" w:w="100"/>
              <w:left w:type="dxa" w:w="120"/>
              <w:bottom w:type="dxa" w:w="100"/>
              <w:right w:type="dxa" w:w="120"/>
            </w:tcMar>
          </w:tcPr>
          <w:p>
            <w:pPr>
              <w:jc w:val="center"/>
            </w:pPr>
            <w:r>
              <w:rPr>
                <w:b w:val="false"/>
                <w:bCs w:val="false"/>
                <w:color w:val="111827"/>
              </w:rPr>
              <w:t xml:space="preserve">2 / 13</w:t>
            </w:r>
          </w:p>
        </w:tc>
        <w:tc>
          <w:tcPr>
            <w:tcW w:type="dxa" w:w="2400"/>
            <w:tcMar>
              <w:top w:type="dxa" w:w="100"/>
              <w:left w:type="dxa" w:w="120"/>
              <w:bottom w:type="dxa" w:w="100"/>
              <w:right w:type="dxa" w:w="120"/>
            </w:tcMar>
          </w:tcPr>
          <w:p>
            <w:pPr>
              <w:jc w:val="left"/>
            </w:pPr>
            <w:r>
              <w:rPr>
                <w:b w:val="false"/>
                <w:bCs w:val="false"/>
                <w:color w:val="111827"/>
              </w:rPr>
              <w:t xml:space="preserve">ARIMA had been unfairly denied the same tuning freedom</w:t>
            </w:r>
          </w:p>
        </w:tc>
      </w:tr>
      <w:tr>
        <w:tc>
          <w:tcPr>
            <w:tcW w:type="dxa" w:w="3200"/>
            <w:shd w:fill="F3F4F6" w:val="clear"/>
            <w:tcMar>
              <w:top w:type="dxa" w:w="100"/>
              <w:left w:type="dxa" w:w="120"/>
              <w:bottom w:type="dxa" w:w="100"/>
              <w:right w:type="dxa" w:w="120"/>
            </w:tcMar>
          </w:tcPr>
          <w:p>
            <w:pPr>
              <w:jc w:val="left"/>
            </w:pPr>
            <w:r>
              <w:rPr>
                <w:b w:val="false"/>
                <w:bCs w:val="false"/>
                <w:color w:val="111827"/>
              </w:rPr>
              <w:t xml:space="preserve">Step 14 (m_2380 audit)</w:t>
            </w:r>
          </w:p>
        </w:tc>
        <w:tc>
          <w:tcPr>
            <w:tcW w:type="dxa" w:w="2400"/>
            <w:shd w:fill="F3F4F6" w:val="clear"/>
            <w:tcMar>
              <w:top w:type="dxa" w:w="100"/>
              <w:left w:type="dxa" w:w="120"/>
              <w:bottom w:type="dxa" w:w="100"/>
              <w:right w:type="dxa" w:w="120"/>
            </w:tcMar>
          </w:tcPr>
          <w:p>
            <w:pPr>
              <w:jc w:val="center"/>
            </w:pPr>
            <w:r>
              <w:rPr>
                <w:b w:val="false"/>
                <w:bCs w:val="false"/>
                <w:color w:val="111827"/>
              </w:rPr>
              <w:t xml:space="preserve">0 / 13</w:t>
            </w:r>
          </w:p>
        </w:tc>
        <w:tc>
          <w:tcPr>
            <w:tcW w:type="dxa" w:w="2400"/>
            <w:shd w:fill="F3F4F6" w:val="clear"/>
            <w:tcMar>
              <w:top w:type="dxa" w:w="100"/>
              <w:left w:type="dxa" w:w="120"/>
              <w:bottom w:type="dxa" w:w="100"/>
              <w:right w:type="dxa" w:w="120"/>
            </w:tcMar>
          </w:tcPr>
          <w:p>
            <w:pPr>
              <w:jc w:val="left"/>
            </w:pPr>
            <w:r>
              <w:rPr>
                <w:b w:val="false"/>
                <w:bCs w:val="false"/>
                <w:color w:val="111827"/>
              </w:rPr>
              <w:t xml:space="preserve">Last remaining case failed its own swap test</w:t>
            </w:r>
          </w:p>
        </w:tc>
      </w:tr>
      <w:tr>
        <w:tc>
          <w:tcPr>
            <w:tcW w:type="dxa" w:w="3200"/>
            <w:tcMar>
              <w:top w:type="dxa" w:w="100"/>
              <w:left w:type="dxa" w:w="120"/>
              <w:bottom w:type="dxa" w:w="100"/>
              <w:right w:type="dxa" w:w="120"/>
            </w:tcMar>
          </w:tcPr>
          <w:p>
            <w:pPr>
              <w:jc w:val="left"/>
            </w:pPr>
            <w:r>
              <w:rPr>
                <w:b w:val="false"/>
                <w:bCs w:val="false"/>
                <w:color w:val="111827"/>
              </w:rPr>
              <w:t xml:space="preserve">Step 16–17 (residual hybrid)</w:t>
            </w:r>
          </w:p>
        </w:tc>
        <w:tc>
          <w:tcPr>
            <w:tcW w:type="dxa" w:w="2400"/>
            <w:tcMar>
              <w:top w:type="dxa" w:w="100"/>
              <w:left w:type="dxa" w:w="120"/>
              <w:bottom w:type="dxa" w:w="100"/>
              <w:right w:type="dxa" w:w="120"/>
            </w:tcMar>
          </w:tcPr>
          <w:p>
            <w:pPr>
              <w:jc w:val="center"/>
            </w:pPr>
            <w:r>
              <w:rPr>
                <w:b w:val="false"/>
                <w:bCs w:val="false"/>
                <w:color w:val="111827"/>
              </w:rPr>
              <w:t xml:space="preserve">1 / 13 robust
(+2 fragile)</w:t>
            </w:r>
          </w:p>
        </w:tc>
        <w:tc>
          <w:tcPr>
            <w:tcW w:type="dxa" w:w="2400"/>
            <w:tcMar>
              <w:top w:type="dxa" w:w="100"/>
              <w:left w:type="dxa" w:w="120"/>
              <w:bottom w:type="dxa" w:w="100"/>
              <w:right w:type="dxa" w:w="120"/>
            </w:tcMar>
          </w:tcPr>
          <w:p>
            <w:pPr>
              <w:jc w:val="left"/>
            </w:pPr>
            <w:r>
              <w:rPr>
                <w:b w:val="false"/>
                <w:bCs w:val="false"/>
                <w:color w:val="111827"/>
              </w:rPr>
              <w:t xml:space="preserve">Different mechanism — LSTM learns ARIMA's leftover residual pattern, not raw values</w:t>
            </w:r>
          </w:p>
        </w:tc>
      </w:tr>
    </w:tbl>
    <w:p>
      <w:pPr>
        <w:spacing w:after="160" w:line="276"/>
      </w:pPr>
      <w:r>
        <w:t xml:space="preserve"/>
      </w:r>
    </w:p>
    <w:p>
      <w:pPr>
        <w:spacing w:after="160" w:line="276"/>
      </w:pPr>
      <w:r>
        <w:t xml:space="preserve">The one result that survived every audit — m_2104, via the Step 16 residual hybrid — is real: it beats ARIMA on all 5 individual seeds (not just the mean), shows zero validation-to-test generalization gap, and holds under counterfactual parameter swaps from all 4 cluster-mate machines. But Step 17's follow-up investigation found no feature (burstiness, demand scale, cluster membership, or the ARIMA-residual autocorrelation structure the leading hypothesis predicted) that distinguishes m_2104 from the other 12 machines — and the leading hypothesis was not just unconfirmed but inverted (m_2104 has the whitest ARIMA residuals of all 13 machines, the opposite of what “ARIMA is underfit here” would predict). With only 3 positive examples in a 13-machine sample, the investigation deliberately did not search for a post-hoc feature combination that happens to fit, since that would be overfitting dressed up as a finding.</w:t>
      </w:r>
    </w:p>
    <w:p>
      <w:pPr>
        <w:pStyle w:val="Heading1"/>
        <w:spacing w:after="200" w:before="400"/>
      </w:pPr>
      <w:r>
        <w:t xml:space="preserve">5. External Validation</w:t>
      </w:r>
    </w:p>
    <w:p>
      <w:pPr>
        <w:spacing w:after="160" w:line="276"/>
      </w:pPr>
      <w:r>
        <w:t xml:space="preserve">A comparable published system — “Predictive Auto-scaling with OpenStack Monasca” (Lanciano et al., UCC 2021), a real OpenStack-deployed predictive autoscaler using RNN/MLP/linear-regression forecasters — was reviewed for comparison. It reports a large predictive-over-reactive advantage (roughly 20–140× on response time), but its own methodology shows the same tuning-asymmetry signature this project spent multiple steps correcting for itself: the reactive baseline's threshold was set to mirror the predictive policy's threshold rather than independently tuned, and results come from what appears to be a single run per policy with no reported seeds or confidence intervals. This does not disprove their result, but it means it should not be read as external validation of “predictive beats reactive” without the same scrutiny this project applies to its own claims.</w:t>
      </w:r>
    </w:p>
    <w:p>
      <w:pPr>
        <w:pStyle w:val="Heading1"/>
        <w:spacing w:after="200" w:before="400"/>
      </w:pPr>
      <w:r>
        <w:t xml:space="preserve">6. Production Decision</w:t>
      </w:r>
    </w:p>
    <w:p>
      <w:pPr>
        <w:spacing w:after="160" w:line="276"/>
      </w:pPr>
      <w:r>
        <w:t xml:space="preserve">The LSTM-based approach (including the residual-hybrid extension where empirically validated per machine) remains the intended production technology, matching the project's original scope. The rigorous ARIMA comparison stands as documented validation of that choice — evidence that the approach was tested against a strong, fairly-tuned classical baseline rather than an assumed one — not as a recommendation to replace it. A draft technical note (Step 17) exists recommending ARIMA as a simpler default for a pure cost-minimization deployment; this has not been applied to the production API and is being held pending a decision on how to position it.</w:t>
      </w:r>
    </w:p>
    <w:p>
      <w:pPr>
        <w:pStyle w:val="Heading1"/>
        <w:spacing w:after="200" w:before="400"/>
      </w:pPr>
      <w:r>
        <w:t xml:space="preserve">7. Current Disadvantages &amp; Weaknesses</w:t>
      </w:r>
    </w:p>
    <w:p>
      <w:pPr>
        <w:spacing w:after="160" w:line="276"/>
      </w:pPr>
      <w:r>
        <w:t xml:space="preserve">The list below is organized from most to least fundamental. Each item reflects an actual tested and documented finding, not a hypothetical concern.</w:t>
      </w:r>
    </w:p>
    <w:p>
      <w:pPr>
        <w:pStyle w:val="Heading2"/>
        <w:spacing w:after="150" w:before="300"/>
      </w:pPr>
      <w:r>
        <w:t xml:space="preserve">7.1 Modeling limitations</w:t>
      </w:r>
    </w:p>
    <w:p>
      <w:pPr>
        <w:pStyle w:val="ListParagraph"/>
        <w:numPr>
          <w:ilvl w:val="0"/>
          <w:numId w:val="2"/>
        </w:numPr>
        <w:spacing w:after="160" w:line="276"/>
      </w:pPr>
      <w:r>
        <w:rPr>
          <w:b/>
          <w:bCs/>
        </w:rPr>
        <w:t xml:space="preserve">No demonstrated LSTM-specific advantage on the raw forecasting task. </w:t>
      </w:r>
      <w:r>
        <w:t xml:space="preserve">Across every fair, audited comparison (Steps 11, 13, 14), the plain LSTM does not show a durable cost advantage over ARIMA(2,0,1) once both are tuned with equal rigor. The one confirmed exception uses a hybrid architecture, not the LSTM alone.</w:t>
      </w:r>
    </w:p>
    <w:p>
      <w:pPr>
        <w:pStyle w:val="ListParagraph"/>
        <w:numPr>
          <w:ilvl w:val="0"/>
          <w:numId w:val="2"/>
        </w:numPr>
        <w:spacing w:after="160" w:line="276"/>
      </w:pPr>
      <w:r>
        <w:rPr>
          <w:b/>
          <w:bCs/>
        </w:rPr>
        <w:t xml:space="preserve">The one real advantage found (the residual hybrid) has no known eligibility rule. </w:t>
      </w:r>
      <w:r>
        <w:t xml:space="preserve">It works robustly on 1 of 13 machines and shows a weaker, less certain effect on 2 more. Every feature investigated — burstiness, demand scale, cluster membership, ARIMA-residual autocorrelation structure — failed to separate the winning machines from the rest. Deploying the hybrid today requires empirical per-machine validation; it cannot yet be applied automatically to a new machine with any confidence.</w:t>
      </w:r>
    </w:p>
    <w:p>
      <w:pPr>
        <w:pStyle w:val="ListParagraph"/>
        <w:numPr>
          <w:ilvl w:val="0"/>
          <w:numId w:val="2"/>
        </w:numPr>
        <w:spacing w:after="160" w:line="276"/>
      </w:pPr>
      <w:r>
        <w:rPr>
          <w:b/>
          <w:bCs/>
        </w:rPr>
        <w:t xml:space="preserve">Richer input features made the LSTM worse, not better. </w:t>
      </w:r>
      <w:r>
        <w:t xml:space="preserve">Adding time-of-day, day-of-week, and rolling statistics as extra input channels (Step 14) produced confirmed-worse results on 8 of 13 machines and zero improvements. This was checked for an implementation bug and confirmed genuine — the most likely cause is that each machine's training set (roughly 1,300–2,300 points) is too small for a 128-unit, 2-layer LSTM to learn additional channels without overfitting.</w:t>
      </w:r>
    </w:p>
    <w:p>
      <w:pPr>
        <w:pStyle w:val="ListParagraph"/>
        <w:numPr>
          <w:ilvl w:val="0"/>
          <w:numId w:val="2"/>
        </w:numPr>
        <w:spacing w:after="160" w:line="276"/>
      </w:pPr>
      <w:r>
        <w:rPr>
          <w:b/>
          <w:bCs/>
        </w:rPr>
        <w:t xml:space="preserve">Pooled / transfer-learning training did not help either, and introduced a new failure mode. </w:t>
      </w:r>
      <w:r>
        <w:t xml:space="preserve">Training one shared LSTM across a 353-machine cluster (Step 15) produced no net accuracy gain over per-machine training, and one of five pretraining seeds produced near-catastrophic results on machines outside the pool with a very different demand scale — a stability risk that per-machine training doesn't have.</w:t>
      </w:r>
    </w:p>
    <w:p>
      <w:pPr>
        <w:pStyle w:val="ListParagraph"/>
        <w:numPr>
          <w:ilvl w:val="0"/>
          <w:numId w:val="2"/>
        </w:numPr>
        <w:spacing w:after="160" w:line="276"/>
      </w:pPr>
      <w:r>
        <w:rPr>
          <w:b/>
          <w:bCs/>
        </w:rPr>
        <w:t xml:space="preserve">A 2-parameter ARIMA model ties the LSTM on raw forecast accuracy. </w:t>
      </w:r>
      <w:r>
        <w:t xml:space="preserve">This was the project's earliest finding (Step 6) and every subsequent result is consistent with it: on this dataset, at this data volume, the forecasting task itself may not require — or reward — the LSTM's added model capacity.</w:t>
      </w:r>
    </w:p>
    <w:p>
      <w:pPr>
        <w:pStyle w:val="Heading2"/>
        <w:spacing w:after="150" w:before="300"/>
      </w:pPr>
      <w:r>
        <w:t xml:space="preserve">7.2 Evaluation &amp; data limitations</w:t>
      </w:r>
    </w:p>
    <w:p>
      <w:pPr>
        <w:pStyle w:val="ListParagraph"/>
        <w:numPr>
          <w:ilvl w:val="0"/>
          <w:numId w:val="2"/>
        </w:numPr>
        <w:spacing w:after="160" w:line="276"/>
      </w:pPr>
      <w:r>
        <w:rPr>
          <w:b/>
          <w:bCs/>
        </w:rPr>
        <w:t xml:space="preserve">Thin machine coverage. </w:t>
      </w:r>
      <w:r>
        <w:t xml:space="preserve">Only 13 of 733 qualifying machines (1.8%) have been evaluated in the multi-machine experiments. Even within a single K-means cluster, outcomes vary enough (both winners and non-winners share clusters) that 13 machines likely undersamples the real variance in the full fleet.</w:t>
      </w:r>
    </w:p>
    <w:p>
      <w:pPr>
        <w:pStyle w:val="ListParagraph"/>
        <w:numPr>
          <w:ilvl w:val="0"/>
          <w:numId w:val="2"/>
        </w:numPr>
        <w:spacing w:after="160" w:line="276"/>
      </w:pPr>
      <w:r>
        <w:rPr>
          <w:b/>
          <w:bCs/>
        </w:rPr>
        <w:t xml:space="preserve">One full machine cluster is structurally infeasible to evaluate. </w:t>
      </w:r>
      <w:r>
        <w:t xml:space="preserve">Cluster 1 (m_2101 and its neighbors) has p99 demand exceeding the maximum simulated fleet capacity (10 servers × 80%) regardless of forecaster or policy — no amount of better forecasting can fix a hard capacity ceiling. This cluster cannot be assessed without raising the server cap or adding a burst-absorbing capacity tier.</w:t>
      </w:r>
    </w:p>
    <w:p>
      <w:pPr>
        <w:pStyle w:val="ListParagraph"/>
        <w:numPr>
          <w:ilvl w:val="0"/>
          <w:numId w:val="2"/>
        </w:numPr>
        <w:spacing w:after="160" w:line="276"/>
      </w:pPr>
      <w:r>
        <w:rPr>
          <w:b/>
          <w:bCs/>
        </w:rPr>
        <w:t xml:space="preserve">Training non-determinism affects close results. </w:t>
      </w:r>
      <w:r>
        <w:t xml:space="preserve">Re-running an identical machine and seed can shift tuned parameters enough to flip a close verdict between policies. Single-machine results near a statistical tie should be read as directional, not exact; only patterns that hold across many machines are treated as reliable.</w:t>
      </w:r>
    </w:p>
    <w:p>
      <w:pPr>
        <w:pStyle w:val="ListParagraph"/>
        <w:numPr>
          <w:ilvl w:val="0"/>
          <w:numId w:val="2"/>
        </w:numPr>
        <w:spacing w:after="160" w:line="276"/>
      </w:pPr>
      <w:r>
        <w:rPr>
          <w:b/>
          <w:bCs/>
        </w:rPr>
        <w:t xml:space="preserve">Validation-to-test generalization gaps recur. </w:t>
      </w:r>
      <w:r>
        <w:t xml:space="preserve">With only one chronological train/validation/test split (no cross-validation), a parameter that looks optimal on validation can fail to generalize to test — this specific failure mode explained two separate false-positive results (m_2085 in Step 10, m_2380 in Step 14).</w:t>
      </w:r>
    </w:p>
    <w:p>
      <w:pPr>
        <w:pStyle w:val="ListParagraph"/>
        <w:numPr>
          <w:ilvl w:val="0"/>
          <w:numId w:val="2"/>
        </w:numPr>
        <w:spacing w:after="160" w:line="276"/>
      </w:pPr>
      <w:r>
        <w:rPr>
          <w:b/>
          <w:bCs/>
        </w:rPr>
        <w:t xml:space="preserve">The originally-hypothesized driver of LSTM's advantage (burstiness) is now fully disconfirmed. </w:t>
      </w:r>
      <w:r>
        <w:t xml:space="preserve">for both SLA and cost, after holding up in an earlier, smaller sample.</w:t>
      </w:r>
    </w:p>
    <w:p>
      <w:pPr>
        <w:pStyle w:val="ListParagraph"/>
        <w:numPr>
          <w:ilvl w:val="0"/>
          <w:numId w:val="2"/>
        </w:numPr>
        <w:spacing w:after="160" w:line="276"/>
      </w:pPr>
      <w:r>
        <w:rPr>
          <w:b/>
          <w:bCs/>
        </w:rPr>
        <w:t xml:space="preserve">SLA violations have not received the same rigorous three-way classification as cost. </w:t>
      </w:r>
      <w:r>
        <w:t xml:space="preserve">SLA outcomes have been reported for context in several steps but never run through the same confirmed/directional/tied audit standard applied to cost scores.</w:t>
      </w:r>
    </w:p>
    <w:p>
      <w:pPr>
        <w:pStyle w:val="ListParagraph"/>
        <w:numPr>
          <w:ilvl w:val="0"/>
          <w:numId w:val="2"/>
        </w:numPr>
        <w:spacing w:after="160" w:line="276"/>
      </w:pPr>
      <w:r>
        <w:rPr>
          <w:b/>
          <w:bCs/>
        </w:rPr>
        <w:t xml:space="preserve">ARIMA's model order was only lightly explored as a robustness dimension. </w:t>
      </w:r>
      <w:r>
        <w:t xml:space="preserve">A single per-machine AIC/BIC re-selection pass (Step 14) was run; a deeper exploration of ARIMA configuration was out of scope.</w:t>
      </w:r>
    </w:p>
    <w:p>
      <w:pPr>
        <w:pStyle w:val="Heading2"/>
        <w:spacing w:after="150" w:before="300"/>
      </w:pPr>
      <w:r>
        <w:t xml:space="preserve">7.3 Deployment &amp; real-world validation gap</w:t>
      </w:r>
    </w:p>
    <w:p>
      <w:pPr>
        <w:pStyle w:val="ListParagraph"/>
        <w:numPr>
          <w:ilvl w:val="0"/>
          <w:numId w:val="2"/>
        </w:numPr>
        <w:spacing w:after="160" w:line="276"/>
      </w:pPr>
      <w:r>
        <w:rPr>
          <w:b/>
          <w:bCs/>
        </w:rPr>
        <w:t xml:space="preserve">Every result to date is simulator-only. </w:t>
      </w:r>
      <w:r>
        <w:t xml:space="preserve">All seventeen steps evaluate policies against a discrete-time fleet simulator (fixed server capacity, fixed startup delay, synthetic capacity math) — none has been tested against a real running deployment, a real load generator, or real client-observed latency. The comparable published system reviewed in Section 5 does test on real infrastructure, which is a genuine methodological strength that this project does not yet have.</w:t>
      </w:r>
    </w:p>
    <w:p>
      <w:pPr>
        <w:pStyle w:val="ListParagraph"/>
        <w:numPr>
          <w:ilvl w:val="0"/>
          <w:numId w:val="2"/>
        </w:numPr>
        <w:spacing w:after="160" w:line="276"/>
      </w:pPr>
      <w:r>
        <w:rPr>
          <w:b/>
          <w:bCs/>
        </w:rPr>
        <w:t xml:space="preserve">Containerization and orchestration have not been built. </w:t>
      </w:r>
      <w:r>
        <w:t xml:space="preserve">No Dockerfile, no Kubernetes manifest, and no KEDA (or equivalent) integration exist yet. This is the confirmed next phase of work.</w:t>
      </w:r>
    </w:p>
    <w:p>
      <w:pPr>
        <w:pStyle w:val="ListParagraph"/>
        <w:numPr>
          <w:ilvl w:val="0"/>
          <w:numId w:val="2"/>
        </w:numPr>
        <w:spacing w:after="160" w:line="276"/>
      </w:pPr>
      <w:r>
        <w:rPr>
          <w:b/>
          <w:bCs/>
        </w:rPr>
        <w:t xml:space="preserve">The API service currently defaults to the LSTM/hybrid path without a validated per-machine gating rule. </w:t>
      </w:r>
      <w:r>
        <w:t xml:space="preserve">meaning a production deployment today would need to either restrict itself to machines with empirical validation (like m_2104) or accept the plain-LSTM performance profile documented above.</w:t>
      </w:r>
    </w:p>
    <w:p>
      <w:pPr>
        <w:pStyle w:val="Heading1"/>
        <w:spacing w:after="200" w:before="400"/>
      </w:pPr>
      <w:r>
        <w:t xml:space="preserve">8. Confirmed Next Steps</w:t>
      </w:r>
    </w:p>
    <w:p>
      <w:pPr>
        <w:pStyle w:val="ListParagraph"/>
        <w:numPr>
          <w:ilvl w:val="0"/>
          <w:numId w:val="2"/>
        </w:numPr>
        <w:spacing w:after="160" w:line="276"/>
      </w:pPr>
      <w:r>
        <w:rPr>
          <w:b/>
          <w:bCs/>
        </w:rPr>
        <w:t xml:space="preserve">Docker + real-world deployment (committed). </w:t>
      </w:r>
      <w:r>
        <w:t xml:space="preserve">Package the API service in a Dockerfile, wire up a Kubernetes manifest with a real or KEDA-based autoscaling loop, and test the system in an actual running environment for the first time — closing the simulator-only gap described in 7.3.</w:t>
      </w:r>
    </w:p>
    <w:p>
      <w:pPr>
        <w:pStyle w:val="ListParagraph"/>
        <w:numPr>
          <w:ilvl w:val="0"/>
          <w:numId w:val="2"/>
        </w:numPr>
        <w:spacing w:after="160" w:line="276"/>
      </w:pPr>
      <w:r>
        <w:rPr>
          <w:b/>
          <w:bCs/>
        </w:rPr>
        <w:t xml:space="preserve">Decide how to position the ARIMA/hybrid findings. </w:t>
      </w:r>
      <w:r>
        <w:t xml:space="preserve">as validation-and-robustness documentation supporting the LSTM approach (current direction), versus any change to what the API serves by default.</w:t>
      </w:r>
    </w:p>
    <w:p>
      <w:pPr>
        <w:pStyle w:val="ListParagraph"/>
        <w:numPr>
          <w:ilvl w:val="0"/>
          <w:numId w:val="2"/>
        </w:numPr>
        <w:spacing w:after="160" w:line="276"/>
      </w:pPr>
      <w:r>
        <w:rPr>
          <w:b/>
          <w:bCs/>
        </w:rPr>
        <w:t xml:space="preserve">Optional further modeling work, if pursued. </w:t>
      </w:r>
      <w:r>
        <w:t xml:space="preserve">a larger-scale pooled-training run (more than one 353-member cluster), more LSTM training seeds to reduce its own noise floor, or evaluating the hybrid across the full 733-machine population rather than the 13 already sampled.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2026-08-31T15:31:26.831Z</dcterms:created>
  <dcterms:modified xsi:type="dcterms:W3CDTF">2026-08-31T15:31:26.847Z</dcterms:modified>
</cp:coreProperties>
</file>

<file path=docProps/custom.xml><?xml version="1.0" encoding="utf-8"?>
<Properties xmlns="http://schemas.openxmlformats.org/officeDocument/2006/custom-properties" xmlns:vt="http://schemas.openxmlformats.org/officeDocument/2006/docPropsVTypes"/>
</file>