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left"/>
        <w:rPr/>
      </w:pPr>
      <w:r>
        <w:rPr/>
        <w:t>Adsorbent cost comparison</w:t>
      </w:r>
    </w:p>
    <w:p>
      <w:pPr>
        <w:pStyle w:val="BodyTexts"/>
        <w:bidi w:val="0"/>
        <w:jc w:val="left"/>
        <w:rPr/>
      </w:pPr>
      <w:r>
        <w:rPr/>
        <w:t>CTSAgn against the four benchmark adsorbents, on the cash cost of released product.</w:t>
      </w:r>
    </w:p>
    <w:tbl>
      <w:tblPr>
        <w:tblW w:w="9405" w:type="dxa"/>
        <w:jc w:val="left"/>
        <w:tblInd w:w="-7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864"/>
        <w:gridCol w:w="1243"/>
        <w:gridCol w:w="1259"/>
        <w:gridCol w:w="1345"/>
        <w:gridCol w:w="2004"/>
        <w:gridCol w:w="1690"/>
      </w:tblGrid>
      <w:tr>
        <w:trPr/>
        <w:tc>
          <w:tcPr>
            <w:tcW w:w="186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BE3F0" w:val="clear"/>
            <w:vAlign w:val="center"/>
          </w:tcPr>
          <w:p>
            <w:pPr>
              <w:pStyle w:val="TableHeading"/>
              <w:bidi w:val="0"/>
              <w:jc w:val="left"/>
              <w:rPr>
                <w:sz w:val="20"/>
              </w:rPr>
            </w:pPr>
            <w:r>
              <w:rPr>
                <w:sz w:val="20"/>
              </w:rPr>
              <w:t>Adsorbent</w:t>
            </w:r>
          </w:p>
        </w:tc>
        <w:tc>
          <w:tcPr>
            <w:tcW w:w="124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BE3F0" w:val="clear"/>
            <w:vAlign w:val="center"/>
          </w:tcPr>
          <w:p>
            <w:pPr>
              <w:pStyle w:val="TableHeading"/>
              <w:bidi w:val="0"/>
              <w:jc w:val="right"/>
              <w:rPr>
                <w:sz w:val="20"/>
              </w:rPr>
            </w:pPr>
            <w:r>
              <w:rPr>
                <w:sz w:val="20"/>
              </w:rPr>
              <w:t>Cost ($/kg)</w:t>
            </w:r>
          </w:p>
        </w:tc>
        <w:tc>
          <w:tcPr>
            <w:tcW w:w="12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BE3F0" w:val="clear"/>
            <w:vAlign w:val="center"/>
          </w:tcPr>
          <w:p>
            <w:pPr>
              <w:pStyle w:val="TableHeading"/>
              <w:bidi w:val="0"/>
              <w:jc w:val="right"/>
              <w:rPr>
                <w:sz w:val="20"/>
              </w:rPr>
            </w:pPr>
            <w:r>
              <w:rPr>
                <w:sz w:val="20"/>
              </w:rPr>
              <w:t>Cost ($/g)</w:t>
            </w:r>
          </w:p>
        </w:tc>
        <w:tc>
          <w:tcPr>
            <w:tcW w:w="13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BE3F0" w:val="clear"/>
            <w:vAlign w:val="center"/>
          </w:tcPr>
          <w:p>
            <w:pPr>
              <w:pStyle w:val="TableHeading"/>
              <w:bidi w:val="0"/>
              <w:jc w:val="right"/>
              <w:rPr>
                <w:sz w:val="20"/>
              </w:rPr>
            </w:pPr>
            <w:r>
              <w:rPr>
                <w:sz w:val="20"/>
              </w:rPr>
              <w:t>Capacity (mg/g)</w:t>
            </w:r>
          </w:p>
        </w:tc>
        <w:tc>
          <w:tcPr>
            <w:tcW w:w="20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BE3F0" w:val="clear"/>
            <w:vAlign w:val="center"/>
          </w:tcPr>
          <w:p>
            <w:pPr>
              <w:pStyle w:val="TableHeading"/>
              <w:bidi w:val="0"/>
              <w:jc w:val="right"/>
              <w:rPr>
                <w:sz w:val="20"/>
              </w:rPr>
            </w:pPr>
            <w:r>
              <w:rPr>
                <w:sz w:val="20"/>
              </w:rPr>
              <w:t>Cost per mg removed ($/mg)</w:t>
            </w:r>
          </w:p>
        </w:tc>
        <w:tc>
          <w:tcPr>
            <w:tcW w:w="16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BE3F0" w:val="clear"/>
            <w:vAlign w:val="center"/>
          </w:tcPr>
          <w:p>
            <w:pPr>
              <w:pStyle w:val="TableHeading"/>
              <w:bidi w:val="0"/>
              <w:jc w:val="right"/>
              <w:rPr>
                <w:sz w:val="20"/>
              </w:rPr>
            </w:pPr>
            <w:r>
              <w:rPr>
                <w:sz w:val="20"/>
              </w:rPr>
              <w:t>Efficiency (mg/$)</w:t>
            </w:r>
          </w:p>
        </w:tc>
      </w:tr>
      <w:tr>
        <w:trPr/>
        <w:tc>
          <w:tcPr>
            <w:tcW w:w="18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Biochar</w:t>
            </w:r>
          </w:p>
        </w:tc>
        <w:tc>
          <w:tcPr>
            <w:tcW w:w="12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10.00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0.01000</w:t>
            </w:r>
          </w:p>
        </w:tc>
        <w:tc>
          <w:tcPr>
            <w:tcW w:w="13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30</w:t>
            </w:r>
          </w:p>
        </w:tc>
        <w:tc>
          <w:tcPr>
            <w:tcW w:w="20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0.000333</w:t>
            </w:r>
          </w:p>
        </w:tc>
        <w:tc>
          <w:tcPr>
            <w:tcW w:w="16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3000.0</w:t>
            </w:r>
          </w:p>
        </w:tc>
      </w:tr>
      <w:tr>
        <w:trPr/>
        <w:tc>
          <w:tcPr>
            <w:tcW w:w="18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Chitosan</w:t>
            </w:r>
          </w:p>
        </w:tc>
        <w:tc>
          <w:tcPr>
            <w:tcW w:w="12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200.00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0.20000</w:t>
            </w:r>
          </w:p>
        </w:tc>
        <w:tc>
          <w:tcPr>
            <w:tcW w:w="13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100</w:t>
            </w:r>
          </w:p>
        </w:tc>
        <w:tc>
          <w:tcPr>
            <w:tcW w:w="20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0.002000</w:t>
            </w:r>
          </w:p>
        </w:tc>
        <w:tc>
          <w:tcPr>
            <w:tcW w:w="16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500.0</w:t>
            </w:r>
          </w:p>
        </w:tc>
      </w:tr>
      <w:tr>
        <w:trPr/>
        <w:tc>
          <w:tcPr>
            <w:tcW w:w="18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Activated Carbon</w:t>
            </w:r>
          </w:p>
        </w:tc>
        <w:tc>
          <w:tcPr>
            <w:tcW w:w="12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150.00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0.15000</w:t>
            </w:r>
          </w:p>
        </w:tc>
        <w:tc>
          <w:tcPr>
            <w:tcW w:w="13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60</w:t>
            </w:r>
          </w:p>
        </w:tc>
        <w:tc>
          <w:tcPr>
            <w:tcW w:w="20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0.002500</w:t>
            </w:r>
          </w:p>
        </w:tc>
        <w:tc>
          <w:tcPr>
            <w:tcW w:w="16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400.0</w:t>
            </w:r>
          </w:p>
        </w:tc>
      </w:tr>
      <w:tr>
        <w:trPr/>
        <w:tc>
          <w:tcPr>
            <w:tcW w:w="186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Iron Oxide</w:t>
            </w:r>
          </w:p>
        </w:tc>
        <w:tc>
          <w:tcPr>
            <w:tcW w:w="124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80.00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0.08000</w:t>
            </w:r>
          </w:p>
        </w:tc>
        <w:tc>
          <w:tcPr>
            <w:tcW w:w="13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50</w:t>
            </w:r>
          </w:p>
        </w:tc>
        <w:tc>
          <w:tcPr>
            <w:tcW w:w="20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0.001600</w:t>
            </w:r>
          </w:p>
        </w:tc>
        <w:tc>
          <w:tcPr>
            <w:tcW w:w="16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625.0</w:t>
            </w:r>
          </w:p>
        </w:tc>
      </w:tr>
      <w:tr>
        <w:trPr/>
        <w:tc>
          <w:tcPr>
            <w:tcW w:w="186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CTSAgn</w:t>
            </w:r>
          </w:p>
        </w:tc>
        <w:tc>
          <w:tcPr>
            <w:tcW w:w="124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42.92</w:t>
            </w:r>
          </w:p>
        </w:tc>
        <w:tc>
          <w:tcPr>
            <w:tcW w:w="125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0.04292</w:t>
            </w:r>
          </w:p>
        </w:tc>
        <w:tc>
          <w:tcPr>
            <w:tcW w:w="13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150</w:t>
            </w:r>
          </w:p>
        </w:tc>
        <w:tc>
          <w:tcPr>
            <w:tcW w:w="200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0.000286</w:t>
            </w:r>
          </w:p>
        </w:tc>
        <w:tc>
          <w:tcPr>
            <w:tcW w:w="16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3494.9</w:t>
            </w:r>
          </w:p>
        </w:tc>
      </w:tr>
    </w:tbl>
    <w:p>
      <w:pPr>
        <w:pStyle w:val="Heading2"/>
        <w:bidi w:val="0"/>
        <w:jc w:val="left"/>
        <w:rPr/>
      </w:pPr>
      <w:r>
        <w:rPr/>
        <w:t>Notes</w:t>
      </w:r>
    </w:p>
    <w:p>
      <w:pPr>
        <w:pStyle w:val="BodyText"/>
        <w:bidi w:val="0"/>
        <w:jc w:val="left"/>
        <w:rPr/>
      </w:pPr>
      <w:r>
        <w:rPr/>
        <w:t>CTSAgn is costed on the five released pilot batches (1 to 5): $2,146 of cash cost over 50 kg, which is $42.92/kg at the released-batch capacity of 150 mg/g. Cash cost is every pilot cost line except equipment depreciation, as the stage-gate policy defines it. Batches 6 and 7 were rejected off spec and are not in this figure. Cost per mg removed is the cost per gram of adsorbent divided by its capacity in mg/g. Efficiency is the reciprocal of that figure, in mg of phosphate removed per dollar of adsorbent.</w:t>
      </w:r>
    </w:p>
    <w:p>
      <w:pPr>
        <w:pStyle w:val="BodyText"/>
        <w:bidi w:val="0"/>
        <w:jc w:val="left"/>
        <w:rPr/>
      </w:pPr>
      <w:r>
        <w:rPr/>
        <w:t>The closest benchmark on efficiency is biochar at 3000.0 mg/$. CTSAgn is at 3494.9 mg/$, 16.5% better, at $0.000286 per mg removed against biochar’s $0.000333.</w:t>
      </w:r>
    </w:p>
    <w:p>
      <w:pPr>
        <w:pStyle w:val="Heading2"/>
        <w:bidi w:val="0"/>
        <w:jc w:val="left"/>
        <w:rPr/>
      </w:pPr>
      <w:r>
        <w:rPr/>
        <w:t>Manufacturing-loss case</w:t>
      </w:r>
    </w:p>
    <w:p>
      <w:pPr>
        <w:pStyle w:val="BodyText"/>
        <w:bidi w:val="0"/>
        <w:jc w:val="left"/>
        <w:rPr/>
      </w:pPr>
      <w:r>
        <w:rPr/>
        <w:t>Carrying the cash cost of all seven pilot batches ($3,093) on the 50 kg actually released gives $61.86/kg ($0.06186/g). At the released-batch capacity of 150 mg/g that is $0.000412 per mg removed and an efficiency of 2,424.8 mg/$, which is 19.2% below biochar. The efficiency lead reverses. This is a sensitivity and does not replace the table entry.</w:t>
      </w:r>
    </w:p>
    <w:p>
      <w:pPr>
        <w:pStyle w:val="Heading2"/>
        <w:bidi w:val="0"/>
        <w:jc w:val="left"/>
        <w:rPr/>
      </w:pPr>
      <w:r>
        <w:rPr/>
        <w:t>Break-even</w:t>
      </w:r>
    </w:p>
    <w:p>
      <w:pPr>
        <w:pStyle w:val="BodyText"/>
        <w:bidi w:val="0"/>
        <w:jc w:val="left"/>
        <w:rPr/>
      </w:pPr>
      <w:r>
        <w:rPr/>
        <w:t>CTSAgn matches biochar’s efficiency at $50.00/kg, which is $2,500 for 50 kg. The released product can therefore absorb $354 more than the $2,146 already charged. The rejected batches cost $947 in cash, so that headroom covers about 37% of it and $593 cannot be absorbed.</w:t>
      </w:r>
    </w:p>
    <w:p>
      <w:pPr>
        <w:pStyle w:val="Heading2"/>
        <w:bidi w:val="0"/>
        <w:jc w:val="left"/>
        <w:rPr/>
      </w:pPr>
      <w:r>
        <w:rPr/>
        <w:t>Adoption</w:t>
      </w:r>
    </w:p>
    <w:p>
      <w:pPr>
        <w:pStyle w:val="BodyText"/>
        <w:bidi w:val="0"/>
        <w:spacing w:before="0" w:after="100"/>
        <w:jc w:val="left"/>
        <w:rPr/>
      </w:pPr>
      <w:r>
        <w:rPr/>
        <w:t>Hold for validation. Efficiency passes on the table basis but fails on the manufacturing-loss basis. The recovered composite’s 195 °C handling ceiling is 20.4 °C above the 175 °C regeneration temperature the benchmark costing assumes, short of the 25 °C margin the policy requires. The trade group’s 220 °C figure is not counted, because it was never measured on this material. The benchmark’s three-cycle regeneration has not been demonstrated on CTSAgn: no cycle data exist. Resolve the manufacturing losses and run cycle testing before reconsidering.</w:t>
      </w:r>
    </w:p>
    <w:sectPr>
      <w:type w:val="nextPage"/>
      <w:pgSz w:w="12240" w:h="15840"/>
      <w:pgMar w:left="1419" w:right="1419" w:gutter="0" w:header="0" w:top="1419" w:footer="0" w:bottom="1419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288"/>
    </w:pPr>
    <w:rPr>
      <w:rFonts w:ascii="Liberation Sans" w:hAnsi="Liberation Sans" w:eastAsia="Liberation Sans" w:cs="Liberation Sans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  <w:outlineLvl w:val="0"/>
    </w:pPr>
    <w:rPr>
      <w:rFonts w:ascii="Liberation Sans" w:hAnsi="Liberation Sans" w:eastAsia="Liberation Sans" w:cs="Liberation Sans"/>
      <w:b/>
      <w:bCs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200" w:after="40"/>
      <w:outlineLvl w:val="1"/>
    </w:pPr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0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s">
    <w:name w:val="Body Text.s"/>
    <w:basedOn w:val="BodyText"/>
    <w:qFormat/>
    <w:pPr/>
    <w:rPr>
      <w:i/>
      <w:i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Adsorbent cost comparison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