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1F4E5F"/>
          <w:sz w:val="32"/>
        </w:rPr>
        <w:t>Analysis Record</w:t>
      </w:r>
    </w:p>
    <w:p>
      <w:pPr>
        <w:spacing w:before="40" w:after="80"/>
      </w:pPr>
      <w:r>
        <w:rPr>
          <w:rFonts w:ascii="Calibri" w:hAnsi="Calibri"/>
          <w:b w:val="0"/>
          <w:sz w:val="21"/>
        </w:rPr>
        <w:t>Sulfur 2p speciation and bioactive column performance, sulfate reducing bioreactor.</w:t>
      </w:r>
    </w:p>
    <w:p>
      <w:pPr>
        <w:spacing w:after="160"/>
      </w:pPr>
      <w:r>
        <w:rPr>
          <w:rFonts w:ascii="Calibri" w:hAnsi="Calibri"/>
          <w:b/>
          <w:color w:val="1F4E5F"/>
          <w:sz w:val="25"/>
        </w:rPr>
        <w:t>Method</w:t>
      </w:r>
    </w:p>
    <w:p>
      <w:pPr>
        <w:spacing w:after="200"/>
        <w:jc w:val="both"/>
      </w:pPr>
      <w:r>
        <w:rPr>
          <w:rFonts w:ascii="Calibri" w:hAnsi="Calibri"/>
          <w:sz w:val="21"/>
        </w:rPr>
        <w:t>The sulfur 2p scan on sheet Fig 3 was smoothed with a Savitzky-Golay filter over a 5-point window using a second-order polynomial, with the ends reflected about the first and last points so every recorded binding energy carries a smoothed value; the 0.1 eV grid is unchanged. A straight-line background through the mean of the first 5 and the last 5 points of the smoothed trace was subtracted, and the measured amplitude of each species is the corrected trace at its assigned position. Each reference binding energy was matched to the nearest local maximum of the smoothed trace within 0.5 eV, taking the taller maximum where two were equally close; the modelled heights are the values printed on the individual species sheets. The aqueous record was split at the failure day, taken as the first sampling day on which the treated effluent pH falls below 4.0 and stays below it for the rest of the run, which is day 458. Entries reported below the limit were replaced by half that limit, and sampling days missing either the influent or the treated effluent value were left out of the means.</w:t>
      </w:r>
    </w:p>
    <w:p>
      <w:pPr>
        <w:keepNext/>
        <w:spacing w:before="40" w:after="80"/>
      </w:pPr>
      <w:r>
        <w:rPr>
          <w:rFonts w:ascii="Calibri" w:hAnsi="Calibri"/>
          <w:b/>
          <w:sz w:val="19"/>
        </w:rPr>
        <w:t>Table 1. Sulfur 2p peak assignments.</w:t>
      </w:r>
    </w:p>
    <w:tbl>
      <w:tblPr>
        <w:tblStyle w:val="TableGrid"/>
        <w:tblW w:type="auto" w:w="0"/>
        <w:tblLayout w:type="fixed"/>
        <w:tblLook w:firstColumn="1" w:firstRow="1" w:lastColumn="0" w:lastRow="0" w:noHBand="0" w:noVBand="1" w:val="04A0"/>
        <w:tblLayout w:type="fixed"/>
      </w:tblPr>
      <w:tblGrid>
        <w:gridCol w:w="1800"/>
        <w:gridCol w:w="1368"/>
        <w:gridCol w:w="1368"/>
        <w:gridCol w:w="1152"/>
        <w:gridCol w:w="2088"/>
        <w:gridCol w:w="1944"/>
        <w:gridCol w:w="1584"/>
        <w:gridCol w:w="2520"/>
      </w:tblGrid>
      <w:tr>
        <w:trPr>
          <w:tblHeader w:val="true"/>
        </w:trPr>
        <w:tc>
          <w:tcPr>
            <w:tcW w:type="dxa" w:w="1800"/>
            <w:shd w:val="clear" w:fill="1F4E5F"/>
          </w:tcPr>
          <w:p>
            <w:pPr>
              <w:spacing w:before="20" w:after="20"/>
              <w:jc w:val="center"/>
            </w:pPr>
            <w:r/>
            <w:r>
              <w:rPr>
                <w:rFonts w:ascii="Calibri" w:hAnsi="Calibri"/>
                <w:b/>
                <w:color w:val="FFFFFF"/>
                <w:sz w:val="17"/>
              </w:rPr>
              <w:t>Species</w:t>
            </w:r>
          </w:p>
        </w:tc>
        <w:tc>
          <w:tcPr>
            <w:tcW w:type="dxa" w:w="1368"/>
            <w:shd w:val="clear" w:fill="1F4E5F"/>
          </w:tcPr>
          <w:p>
            <w:pPr>
              <w:spacing w:before="20" w:after="20"/>
              <w:jc w:val="center"/>
            </w:pPr>
            <w:r/>
            <w:r>
              <w:rPr>
                <w:rFonts w:ascii="Calibri" w:hAnsi="Calibri"/>
                <w:b/>
                <w:color w:val="FFFFFF"/>
                <w:sz w:val="17"/>
              </w:rPr>
              <w:t>Reference (eV)</w:t>
            </w:r>
          </w:p>
        </w:tc>
        <w:tc>
          <w:tcPr>
            <w:tcW w:type="dxa" w:w="1368"/>
            <w:shd w:val="clear" w:fill="1F4E5F"/>
          </w:tcPr>
          <w:p>
            <w:pPr>
              <w:spacing w:before="20" w:after="20"/>
              <w:jc w:val="center"/>
            </w:pPr>
            <w:r/>
            <w:r>
              <w:rPr>
                <w:rFonts w:ascii="Calibri" w:hAnsi="Calibri"/>
                <w:b/>
                <w:color w:val="FFFFFF"/>
                <w:sz w:val="17"/>
              </w:rPr>
              <w:t>Assigned (eV)</w:t>
            </w:r>
          </w:p>
        </w:tc>
        <w:tc>
          <w:tcPr>
            <w:tcW w:type="dxa" w:w="1152"/>
            <w:shd w:val="clear" w:fill="1F4E5F"/>
          </w:tcPr>
          <w:p>
            <w:pPr>
              <w:spacing w:before="20" w:after="20"/>
              <w:jc w:val="center"/>
            </w:pPr>
            <w:r/>
            <w:r>
              <w:rPr>
                <w:rFonts w:ascii="Calibri" w:hAnsi="Calibri"/>
                <w:b/>
                <w:color w:val="FFFFFF"/>
                <w:sz w:val="17"/>
              </w:rPr>
              <w:t>Offset (eV)</w:t>
            </w:r>
          </w:p>
        </w:tc>
        <w:tc>
          <w:tcPr>
            <w:tcW w:type="dxa" w:w="2088"/>
            <w:shd w:val="clear" w:fill="1F4E5F"/>
          </w:tcPr>
          <w:p>
            <w:pPr>
              <w:spacing w:before="20" w:after="20"/>
              <w:jc w:val="center"/>
            </w:pPr>
            <w:r/>
            <w:r>
              <w:rPr>
                <w:rFonts w:ascii="Calibri" w:hAnsi="Calibri"/>
                <w:b/>
                <w:color w:val="FFFFFF"/>
                <w:sz w:val="17"/>
              </w:rPr>
              <w:t>Measured amplitude (counts/s)</w:t>
            </w:r>
          </w:p>
        </w:tc>
        <w:tc>
          <w:tcPr>
            <w:tcW w:type="dxa" w:w="1944"/>
            <w:shd w:val="clear" w:fill="1F4E5F"/>
            <w:shd w:val="clear" w:fill="1F4E5F"/>
          </w:tcPr>
          <w:p>
            <w:pPr>
              <w:spacing w:before="20" w:after="20"/>
              <w:jc w:val="center"/>
            </w:pPr>
            <w:r/>
            <w:r>
              <w:rPr>
                <w:rFonts w:ascii="Calibri" w:hAnsi="Calibri"/>
                <w:b/>
                <w:color w:val="FFFFFF"/>
                <w:sz w:val="17"/>
              </w:rPr>
              <w:t>Modelled height (counts/s)</w:t>
            </w:r>
          </w:p>
        </w:tc>
        <w:tc>
          <w:tcPr>
            <w:tcW w:type="dxa" w:w="1584"/>
            <w:shd w:val="clear" w:fill="1F4E5F"/>
          </w:tcPr>
          <w:p>
            <w:pPr>
              <w:spacing w:before="20" w:after="20"/>
              <w:jc w:val="center"/>
            </w:pPr>
            <w:r/>
            <w:r>
              <w:rPr>
                <w:rFonts w:ascii="Calibri" w:hAnsi="Calibri"/>
                <w:b/>
                <w:color w:val="FFFFFF"/>
                <w:sz w:val="17"/>
              </w:rPr>
              <w:t>Difference (counts/s)</w:t>
            </w:r>
          </w:p>
        </w:tc>
        <w:tc>
          <w:tcPr>
            <w:tcW w:type="dxa" w:w="2520"/>
            <w:shd w:val="clear" w:fill="1F4E5F"/>
          </w:tcPr>
          <w:p>
            <w:pPr>
              <w:spacing w:before="20" w:after="20"/>
              <w:jc w:val="center"/>
            </w:pPr>
            <w:r/>
            <w:r>
              <w:rPr>
                <w:rFonts w:ascii="Calibri" w:hAnsi="Calibri"/>
                <w:b/>
                <w:color w:val="FFFFFF"/>
                <w:sz w:val="17"/>
              </w:rPr>
              <w:t>Source sheet</w:t>
            </w:r>
          </w:p>
        </w:tc>
      </w:tr>
      <w:tr>
        <w:tc>
          <w:tcPr>
            <w:tcW w:type="dxa" w:w="1800"/>
            <w:shd w:val="clear" w:fill="EEF1F4"/>
          </w:tcPr>
          <w:p>
            <w:pPr>
              <w:spacing w:before="20" w:after="20"/>
              <w:jc w:val="left"/>
            </w:pPr>
            <w:r/>
            <w:r>
              <w:rPr>
                <w:rFonts w:ascii="Calibri" w:hAnsi="Calibri"/>
                <w:b w:val="0"/>
                <w:sz w:val="17"/>
              </w:rPr>
              <w:t>S4+ 2p1/2</w:t>
            </w:r>
          </w:p>
        </w:tc>
        <w:tc>
          <w:tcPr>
            <w:tcW w:type="dxa" w:w="1368"/>
            <w:shd w:val="clear" w:fill="EEF1F4"/>
          </w:tcPr>
          <w:p>
            <w:pPr>
              <w:spacing w:before="20" w:after="20"/>
              <w:jc w:val="right"/>
            </w:pPr>
            <w:r/>
            <w:r>
              <w:rPr>
                <w:rFonts w:ascii="Calibri" w:hAnsi="Calibri"/>
                <w:b w:val="0"/>
                <w:sz w:val="17"/>
              </w:rPr>
              <w:t>167.9</w:t>
            </w:r>
          </w:p>
        </w:tc>
        <w:tc>
          <w:tcPr>
            <w:tcW w:type="dxa" w:w="1368"/>
            <w:shd w:val="clear" w:fill="EEF1F4"/>
          </w:tcPr>
          <w:p>
            <w:pPr>
              <w:spacing w:before="20" w:after="20"/>
              <w:jc w:val="right"/>
            </w:pPr>
            <w:r/>
            <w:r>
              <w:rPr>
                <w:rFonts w:ascii="Calibri" w:hAnsi="Calibri"/>
                <w:b w:val="0"/>
                <w:sz w:val="17"/>
              </w:rPr>
              <w:t>168.0</w:t>
            </w:r>
          </w:p>
        </w:tc>
        <w:tc>
          <w:tcPr>
            <w:tcW w:type="dxa" w:w="1152"/>
            <w:shd w:val="clear" w:fill="EEF1F4"/>
          </w:tcPr>
          <w:p>
            <w:pPr>
              <w:spacing w:before="20" w:after="20"/>
              <w:jc w:val="right"/>
            </w:pPr>
            <w:r/>
            <w:r>
              <w:rPr>
                <w:rFonts w:ascii="Calibri" w:hAnsi="Calibri"/>
                <w:b w:val="0"/>
                <w:sz w:val="17"/>
              </w:rPr>
              <w:t>+0.1</w:t>
            </w:r>
          </w:p>
        </w:tc>
        <w:tc>
          <w:tcPr>
            <w:tcW w:type="dxa" w:w="2088"/>
            <w:shd w:val="clear" w:fill="EEF1F4"/>
          </w:tcPr>
          <w:p>
            <w:pPr>
              <w:spacing w:before="20" w:after="20"/>
              <w:jc w:val="right"/>
            </w:pPr>
            <w:r/>
            <w:r>
              <w:rPr>
                <w:rFonts w:ascii="Calibri" w:hAnsi="Calibri"/>
                <w:b w:val="0"/>
                <w:sz w:val="17"/>
              </w:rPr>
              <w:t>15.9</w:t>
            </w:r>
          </w:p>
        </w:tc>
        <w:tc>
          <w:tcPr>
            <w:tcW w:type="dxa" w:w="1944"/>
            <w:shd w:val="clear" w:fill="EEF1F4"/>
          </w:tcPr>
          <w:p>
            <w:pPr>
              <w:spacing w:before="20" w:after="20"/>
              <w:jc w:val="right"/>
            </w:pPr>
            <w:r/>
            <w:r>
              <w:rPr>
                <w:rFonts w:ascii="Calibri" w:hAnsi="Calibri"/>
                <w:b w:val="0"/>
                <w:sz w:val="17"/>
              </w:rPr>
              <w:t>12</w:t>
            </w:r>
          </w:p>
        </w:tc>
        <w:tc>
          <w:tcPr>
            <w:tcW w:type="dxa" w:w="1584"/>
            <w:shd w:val="clear" w:fill="EEF1F4"/>
          </w:tcPr>
          <w:p>
            <w:pPr>
              <w:spacing w:before="20" w:after="20"/>
              <w:jc w:val="right"/>
            </w:pPr>
            <w:r/>
            <w:r>
              <w:rPr>
                <w:rFonts w:ascii="Calibri" w:hAnsi="Calibri"/>
                <w:b w:val="0"/>
                <w:sz w:val="17"/>
              </w:rPr>
              <w:t>+3.9</w:t>
            </w:r>
          </w:p>
        </w:tc>
        <w:tc>
          <w:tcPr>
            <w:tcW w:type="dxa" w:w="2520"/>
            <w:shd w:val="clear" w:fill="EEF1F4"/>
          </w:tcPr>
          <w:p>
            <w:pPr>
              <w:spacing w:before="20" w:after="20"/>
              <w:jc w:val="left"/>
            </w:pPr>
            <w:r/>
            <w:r>
              <w:rPr>
                <w:rFonts w:ascii="Calibri" w:hAnsi="Calibri"/>
                <w:b w:val="0"/>
                <w:sz w:val="17"/>
              </w:rPr>
              <w:t>S4+_2p12.png</w:t>
            </w:r>
          </w:p>
        </w:tc>
      </w:tr>
      <w:tr>
        <w:tc>
          <w:tcPr>
            <w:tcW w:type="dxa" w:w="1800"/>
          </w:tcPr>
          <w:p>
            <w:pPr>
              <w:spacing w:before="20" w:after="20"/>
              <w:jc w:val="left"/>
            </w:pPr>
            <w:r/>
            <w:r>
              <w:rPr>
                <w:rFonts w:ascii="Calibri" w:hAnsi="Calibri"/>
                <w:b w:val="0"/>
                <w:sz w:val="17"/>
              </w:rPr>
              <w:t>S4+ 2p3/2</w:t>
            </w:r>
          </w:p>
        </w:tc>
        <w:tc>
          <w:tcPr>
            <w:tcW w:type="dxa" w:w="1368"/>
          </w:tcPr>
          <w:p>
            <w:pPr>
              <w:spacing w:before="20" w:after="20"/>
              <w:jc w:val="right"/>
            </w:pPr>
            <w:r/>
            <w:r>
              <w:rPr>
                <w:rFonts w:ascii="Calibri" w:hAnsi="Calibri"/>
                <w:b w:val="0"/>
                <w:sz w:val="17"/>
              </w:rPr>
              <w:t>167.0</w:t>
            </w:r>
          </w:p>
        </w:tc>
        <w:tc>
          <w:tcPr>
            <w:tcW w:type="dxa" w:w="1368"/>
          </w:tcPr>
          <w:p>
            <w:pPr>
              <w:spacing w:before="20" w:after="20"/>
              <w:jc w:val="right"/>
            </w:pPr>
            <w:r/>
            <w:r>
              <w:rPr>
                <w:rFonts w:ascii="Calibri" w:hAnsi="Calibri"/>
                <w:b w:val="0"/>
                <w:sz w:val="17"/>
              </w:rPr>
              <w:t>167.2</w:t>
            </w:r>
          </w:p>
        </w:tc>
        <w:tc>
          <w:tcPr>
            <w:tcW w:type="dxa" w:w="1152"/>
          </w:tcPr>
          <w:p>
            <w:pPr>
              <w:spacing w:before="20" w:after="20"/>
              <w:jc w:val="right"/>
            </w:pPr>
            <w:r/>
            <w:r>
              <w:rPr>
                <w:rFonts w:ascii="Calibri" w:hAnsi="Calibri"/>
                <w:b w:val="0"/>
                <w:sz w:val="17"/>
              </w:rPr>
              <w:t>+0.2</w:t>
            </w:r>
          </w:p>
        </w:tc>
        <w:tc>
          <w:tcPr>
            <w:tcW w:type="dxa" w:w="2088"/>
          </w:tcPr>
          <w:p>
            <w:pPr>
              <w:spacing w:before="20" w:after="20"/>
              <w:jc w:val="right"/>
            </w:pPr>
            <w:r/>
            <w:r>
              <w:rPr>
                <w:rFonts w:ascii="Calibri" w:hAnsi="Calibri"/>
                <w:b w:val="0"/>
                <w:sz w:val="17"/>
              </w:rPr>
              <w:t>21.1</w:t>
            </w:r>
          </w:p>
        </w:tc>
        <w:tc>
          <w:tcPr>
            <w:tcW w:type="dxa" w:w="1944"/>
          </w:tcPr>
          <w:p>
            <w:pPr>
              <w:spacing w:before="20" w:after="20"/>
              <w:jc w:val="right"/>
            </w:pPr>
            <w:r/>
            <w:r>
              <w:rPr>
                <w:rFonts w:ascii="Calibri" w:hAnsi="Calibri"/>
                <w:b w:val="0"/>
                <w:sz w:val="17"/>
              </w:rPr>
              <w:t>21</w:t>
            </w:r>
          </w:p>
        </w:tc>
        <w:tc>
          <w:tcPr>
            <w:tcW w:type="dxa" w:w="1584"/>
          </w:tcPr>
          <w:p>
            <w:pPr>
              <w:spacing w:before="20" w:after="20"/>
              <w:jc w:val="right"/>
            </w:pPr>
            <w:r/>
            <w:r>
              <w:rPr>
                <w:rFonts w:ascii="Calibri" w:hAnsi="Calibri"/>
                <w:b w:val="0"/>
                <w:sz w:val="17"/>
              </w:rPr>
              <w:t>+0.1</w:t>
            </w:r>
          </w:p>
        </w:tc>
        <w:tc>
          <w:tcPr>
            <w:tcW w:type="dxa" w:w="2520"/>
          </w:tcPr>
          <w:p>
            <w:pPr>
              <w:spacing w:before="20" w:after="20"/>
              <w:jc w:val="left"/>
            </w:pPr>
            <w:r/>
            <w:r>
              <w:rPr>
                <w:rFonts w:ascii="Calibri" w:hAnsi="Calibri"/>
                <w:b w:val="0"/>
                <w:sz w:val="17"/>
              </w:rPr>
              <w:t>S4+_2p32.png</w:t>
            </w:r>
          </w:p>
        </w:tc>
      </w:tr>
      <w:tr>
        <w:tc>
          <w:tcPr>
            <w:tcW w:type="dxa" w:w="1800"/>
            <w:shd w:val="clear" w:fill="EEF1F4"/>
          </w:tcPr>
          <w:p>
            <w:pPr>
              <w:spacing w:before="20" w:after="20"/>
              <w:jc w:val="left"/>
            </w:pPr>
            <w:r/>
            <w:r>
              <w:rPr>
                <w:rFonts w:ascii="Calibri" w:hAnsi="Calibri"/>
                <w:b w:val="0"/>
                <w:sz w:val="17"/>
              </w:rPr>
              <w:t>S2- 2p1/2</w:t>
            </w:r>
          </w:p>
        </w:tc>
        <w:tc>
          <w:tcPr>
            <w:tcW w:type="dxa" w:w="1368"/>
            <w:shd w:val="clear" w:fill="EEF1F4"/>
          </w:tcPr>
          <w:p>
            <w:pPr>
              <w:spacing w:before="20" w:after="20"/>
              <w:jc w:val="right"/>
            </w:pPr>
            <w:r/>
            <w:r>
              <w:rPr>
                <w:rFonts w:ascii="Calibri" w:hAnsi="Calibri"/>
                <w:b w:val="0"/>
                <w:sz w:val="17"/>
              </w:rPr>
              <w:t>162.5</w:t>
            </w:r>
          </w:p>
        </w:tc>
        <w:tc>
          <w:tcPr>
            <w:tcW w:type="dxa" w:w="1368"/>
            <w:shd w:val="clear" w:fill="EEF1F4"/>
          </w:tcPr>
          <w:p>
            <w:pPr>
              <w:spacing w:before="20" w:after="20"/>
              <w:jc w:val="right"/>
            </w:pPr>
            <w:r/>
            <w:r>
              <w:rPr>
                <w:rFonts w:ascii="Calibri" w:hAnsi="Calibri"/>
                <w:b w:val="0"/>
                <w:sz w:val="17"/>
              </w:rPr>
              <w:t>162.2</w:t>
            </w:r>
          </w:p>
        </w:tc>
        <w:tc>
          <w:tcPr>
            <w:tcW w:type="dxa" w:w="1152"/>
            <w:shd w:val="clear" w:fill="EEF1F4"/>
          </w:tcPr>
          <w:p>
            <w:pPr>
              <w:spacing w:before="20" w:after="20"/>
              <w:jc w:val="right"/>
            </w:pPr>
            <w:r/>
            <w:r>
              <w:rPr>
                <w:rFonts w:ascii="Calibri" w:hAnsi="Calibri"/>
                <w:b w:val="0"/>
                <w:sz w:val="17"/>
              </w:rPr>
              <w:t>-0.3</w:t>
            </w:r>
          </w:p>
        </w:tc>
        <w:tc>
          <w:tcPr>
            <w:tcW w:type="dxa" w:w="2088"/>
            <w:shd w:val="clear" w:fill="EEF1F4"/>
          </w:tcPr>
          <w:p>
            <w:pPr>
              <w:spacing w:before="20" w:after="20"/>
              <w:jc w:val="right"/>
            </w:pPr>
            <w:r/>
            <w:r>
              <w:rPr>
                <w:rFonts w:ascii="Calibri" w:hAnsi="Calibri"/>
                <w:b w:val="0"/>
                <w:sz w:val="17"/>
              </w:rPr>
              <w:t>21.9</w:t>
            </w:r>
          </w:p>
        </w:tc>
        <w:tc>
          <w:tcPr>
            <w:tcW w:type="dxa" w:w="1944"/>
            <w:shd w:val="clear" w:fill="EEF1F4"/>
          </w:tcPr>
          <w:p>
            <w:pPr>
              <w:spacing w:before="20" w:after="20"/>
              <w:jc w:val="right"/>
            </w:pPr>
            <w:r/>
            <w:r>
              <w:rPr>
                <w:rFonts w:ascii="Calibri" w:hAnsi="Calibri"/>
                <w:b w:val="0"/>
                <w:sz w:val="17"/>
              </w:rPr>
              <w:t>6</w:t>
            </w:r>
          </w:p>
        </w:tc>
        <w:tc>
          <w:tcPr>
            <w:tcW w:type="dxa" w:w="1584"/>
            <w:shd w:val="clear" w:fill="EEF1F4"/>
          </w:tcPr>
          <w:p>
            <w:pPr>
              <w:spacing w:before="20" w:after="20"/>
              <w:jc w:val="right"/>
            </w:pPr>
            <w:r/>
            <w:r>
              <w:rPr>
                <w:rFonts w:ascii="Calibri" w:hAnsi="Calibri"/>
                <w:b w:val="0"/>
                <w:sz w:val="17"/>
              </w:rPr>
              <w:t>+15.9</w:t>
            </w:r>
          </w:p>
        </w:tc>
        <w:tc>
          <w:tcPr>
            <w:tcW w:type="dxa" w:w="2520"/>
            <w:shd w:val="clear" w:fill="EEF1F4"/>
          </w:tcPr>
          <w:p>
            <w:pPr>
              <w:spacing w:before="20" w:after="20"/>
              <w:jc w:val="left"/>
            </w:pPr>
            <w:r/>
            <w:r>
              <w:rPr>
                <w:rFonts w:ascii="Calibri" w:hAnsi="Calibri"/>
                <w:b w:val="0"/>
                <w:sz w:val="17"/>
              </w:rPr>
              <w:t>S2-_2p12.png</w:t>
            </w:r>
          </w:p>
        </w:tc>
      </w:tr>
      <w:tr>
        <w:tc>
          <w:tcPr>
            <w:tcW w:type="dxa" w:w="1800"/>
          </w:tcPr>
          <w:p>
            <w:pPr>
              <w:spacing w:before="20" w:after="20"/>
              <w:jc w:val="left"/>
            </w:pPr>
            <w:r/>
            <w:r>
              <w:rPr>
                <w:rFonts w:ascii="Calibri" w:hAnsi="Calibri"/>
                <w:b w:val="0"/>
                <w:sz w:val="17"/>
              </w:rPr>
              <w:t>S2- 2p1/2 (B)</w:t>
            </w:r>
          </w:p>
        </w:tc>
        <w:tc>
          <w:tcPr>
            <w:tcW w:type="dxa" w:w="1368"/>
          </w:tcPr>
          <w:p>
            <w:pPr>
              <w:spacing w:before="20" w:after="20"/>
              <w:jc w:val="right"/>
            </w:pPr>
            <w:r/>
            <w:r>
              <w:rPr>
                <w:rFonts w:ascii="Calibri" w:hAnsi="Calibri"/>
                <w:b w:val="0"/>
                <w:sz w:val="17"/>
              </w:rPr>
              <w:t>161.1</w:t>
            </w:r>
          </w:p>
        </w:tc>
        <w:tc>
          <w:tcPr>
            <w:tcW w:type="dxa" w:w="1368"/>
          </w:tcPr>
          <w:p>
            <w:pPr>
              <w:spacing w:before="20" w:after="20"/>
              <w:jc w:val="right"/>
            </w:pPr>
            <w:r/>
            <w:r>
              <w:rPr>
                <w:rFonts w:ascii="Calibri" w:hAnsi="Calibri"/>
                <w:b w:val="0"/>
                <w:sz w:val="17"/>
              </w:rPr>
              <w:t>161.2</w:t>
            </w:r>
          </w:p>
        </w:tc>
        <w:tc>
          <w:tcPr>
            <w:tcW w:type="dxa" w:w="1152"/>
          </w:tcPr>
          <w:p>
            <w:pPr>
              <w:spacing w:before="20" w:after="20"/>
              <w:jc w:val="right"/>
            </w:pPr>
            <w:r/>
            <w:r>
              <w:rPr>
                <w:rFonts w:ascii="Calibri" w:hAnsi="Calibri"/>
                <w:b w:val="0"/>
                <w:sz w:val="17"/>
              </w:rPr>
              <w:t>+0.1</w:t>
            </w:r>
          </w:p>
        </w:tc>
        <w:tc>
          <w:tcPr>
            <w:tcW w:type="dxa" w:w="2088"/>
          </w:tcPr>
          <w:p>
            <w:pPr>
              <w:spacing w:before="20" w:after="20"/>
              <w:jc w:val="right"/>
            </w:pPr>
            <w:r/>
            <w:r>
              <w:rPr>
                <w:rFonts w:ascii="Calibri" w:hAnsi="Calibri"/>
                <w:b w:val="0"/>
                <w:sz w:val="17"/>
              </w:rPr>
              <w:t>77.7</w:t>
            </w:r>
          </w:p>
        </w:tc>
        <w:tc>
          <w:tcPr>
            <w:tcW w:type="dxa" w:w="1944"/>
          </w:tcPr>
          <w:p>
            <w:pPr>
              <w:spacing w:before="20" w:after="20"/>
              <w:jc w:val="right"/>
            </w:pPr>
            <w:r/>
            <w:r>
              <w:rPr>
                <w:rFonts w:ascii="Calibri" w:hAnsi="Calibri"/>
                <w:b w:val="0"/>
                <w:sz w:val="17"/>
              </w:rPr>
              <w:t>78</w:t>
            </w:r>
          </w:p>
        </w:tc>
        <w:tc>
          <w:tcPr>
            <w:tcW w:type="dxa" w:w="1584"/>
          </w:tcPr>
          <w:p>
            <w:pPr>
              <w:spacing w:before="20" w:after="20"/>
              <w:jc w:val="right"/>
            </w:pPr>
            <w:r/>
            <w:r>
              <w:rPr>
                <w:rFonts w:ascii="Calibri" w:hAnsi="Calibri"/>
                <w:b w:val="0"/>
                <w:sz w:val="17"/>
              </w:rPr>
              <w:t>-0.3</w:t>
            </w:r>
          </w:p>
        </w:tc>
        <w:tc>
          <w:tcPr>
            <w:tcW w:type="dxa" w:w="2520"/>
          </w:tcPr>
          <w:p>
            <w:pPr>
              <w:spacing w:before="20" w:after="20"/>
              <w:jc w:val="left"/>
            </w:pPr>
            <w:r/>
            <w:r>
              <w:rPr>
                <w:rFonts w:ascii="Calibri" w:hAnsi="Calibri"/>
                <w:b w:val="0"/>
                <w:sz w:val="17"/>
              </w:rPr>
              <w:t>S2-_2p12_2.png</w:t>
            </w:r>
          </w:p>
        </w:tc>
      </w:tr>
      <w:tr>
        <w:tc>
          <w:tcPr>
            <w:tcW w:type="dxa" w:w="1800"/>
            <w:shd w:val="clear" w:fill="EEF1F4"/>
          </w:tcPr>
          <w:p>
            <w:pPr>
              <w:spacing w:before="20" w:after="20"/>
              <w:jc w:val="left"/>
            </w:pPr>
            <w:r/>
            <w:r>
              <w:rPr>
                <w:rFonts w:ascii="Calibri" w:hAnsi="Calibri"/>
                <w:b w:val="0"/>
                <w:sz w:val="17"/>
              </w:rPr>
              <w:t>S2- 2p3/2</w:t>
            </w:r>
          </w:p>
        </w:tc>
        <w:tc>
          <w:tcPr>
            <w:tcW w:type="dxa" w:w="1368"/>
            <w:shd w:val="clear" w:fill="EEF1F4"/>
          </w:tcPr>
          <w:p>
            <w:pPr>
              <w:spacing w:before="20" w:after="20"/>
              <w:jc w:val="right"/>
            </w:pPr>
            <w:r/>
            <w:r>
              <w:rPr>
                <w:rFonts w:ascii="Calibri" w:hAnsi="Calibri"/>
                <w:b w:val="0"/>
                <w:sz w:val="17"/>
              </w:rPr>
              <w:t>160.5</w:t>
            </w:r>
          </w:p>
        </w:tc>
        <w:tc>
          <w:tcPr>
            <w:tcW w:type="dxa" w:w="1368"/>
            <w:shd w:val="clear" w:fill="EEF1F4"/>
          </w:tcPr>
          <w:p>
            <w:pPr>
              <w:spacing w:before="20" w:after="20"/>
              <w:jc w:val="right"/>
            </w:pPr>
            <w:r/>
            <w:r>
              <w:rPr>
                <w:rFonts w:ascii="Calibri" w:hAnsi="Calibri"/>
                <w:b w:val="0"/>
                <w:sz w:val="17"/>
              </w:rPr>
              <w:t>160.4</w:t>
            </w:r>
          </w:p>
        </w:tc>
        <w:tc>
          <w:tcPr>
            <w:tcW w:type="dxa" w:w="1152"/>
            <w:shd w:val="clear" w:fill="EEF1F4"/>
          </w:tcPr>
          <w:p>
            <w:pPr>
              <w:spacing w:before="20" w:after="20"/>
              <w:jc w:val="right"/>
            </w:pPr>
            <w:r/>
            <w:r>
              <w:rPr>
                <w:rFonts w:ascii="Calibri" w:hAnsi="Calibri"/>
                <w:b w:val="0"/>
                <w:sz w:val="17"/>
              </w:rPr>
              <w:t>-0.1</w:t>
            </w:r>
          </w:p>
        </w:tc>
        <w:tc>
          <w:tcPr>
            <w:tcW w:type="dxa" w:w="2088"/>
            <w:shd w:val="clear" w:fill="EEF1F4"/>
          </w:tcPr>
          <w:p>
            <w:pPr>
              <w:spacing w:before="20" w:after="20"/>
              <w:jc w:val="right"/>
            </w:pPr>
            <w:r/>
            <w:r>
              <w:rPr>
                <w:rFonts w:ascii="Calibri" w:hAnsi="Calibri"/>
                <w:b w:val="0"/>
                <w:sz w:val="17"/>
              </w:rPr>
              <w:t>128.8</w:t>
            </w:r>
          </w:p>
        </w:tc>
        <w:tc>
          <w:tcPr>
            <w:tcW w:type="dxa" w:w="1944"/>
            <w:shd w:val="clear" w:fill="EEF1F4"/>
          </w:tcPr>
          <w:p>
            <w:pPr>
              <w:spacing w:before="20" w:after="20"/>
              <w:jc w:val="right"/>
            </w:pPr>
            <w:r/>
            <w:r>
              <w:rPr>
                <w:rFonts w:ascii="Calibri" w:hAnsi="Calibri"/>
                <w:b w:val="0"/>
                <w:sz w:val="17"/>
              </w:rPr>
              <w:t>36</w:t>
            </w:r>
          </w:p>
        </w:tc>
        <w:tc>
          <w:tcPr>
            <w:tcW w:type="dxa" w:w="1584"/>
            <w:shd w:val="clear" w:fill="EEF1F4"/>
          </w:tcPr>
          <w:p>
            <w:pPr>
              <w:spacing w:before="20" w:after="20"/>
              <w:jc w:val="right"/>
            </w:pPr>
            <w:r/>
            <w:r>
              <w:rPr>
                <w:rFonts w:ascii="Calibri" w:hAnsi="Calibri"/>
                <w:b w:val="0"/>
                <w:sz w:val="17"/>
              </w:rPr>
              <w:t>+92.8</w:t>
            </w:r>
          </w:p>
        </w:tc>
        <w:tc>
          <w:tcPr>
            <w:tcW w:type="dxa" w:w="2520"/>
            <w:shd w:val="clear" w:fill="EEF1F4"/>
          </w:tcPr>
          <w:p>
            <w:pPr>
              <w:spacing w:before="20" w:after="20"/>
              <w:jc w:val="left"/>
            </w:pPr>
            <w:r/>
            <w:r>
              <w:rPr>
                <w:rFonts w:ascii="Calibri" w:hAnsi="Calibri"/>
                <w:b w:val="0"/>
                <w:sz w:val="17"/>
              </w:rPr>
              <w:t>S2-_2p32.png</w:t>
            </w:r>
          </w:p>
        </w:tc>
      </w:tr>
      <w:tr>
        <w:tc>
          <w:tcPr>
            <w:tcW w:type="dxa" w:w="1800"/>
          </w:tcPr>
          <w:p>
            <w:pPr>
              <w:spacing w:before="20" w:after="20"/>
              <w:jc w:val="left"/>
            </w:pPr>
            <w:r/>
            <w:r>
              <w:rPr>
                <w:rFonts w:ascii="Calibri" w:hAnsi="Calibri"/>
                <w:b w:val="0"/>
                <w:sz w:val="17"/>
              </w:rPr>
              <w:t>S2- 2p3/2 (B)</w:t>
            </w:r>
          </w:p>
        </w:tc>
        <w:tc>
          <w:tcPr>
            <w:tcW w:type="dxa" w:w="1368"/>
          </w:tcPr>
          <w:p>
            <w:pPr>
              <w:spacing w:before="20" w:after="20"/>
              <w:jc w:val="right"/>
            </w:pPr>
            <w:r/>
            <w:r>
              <w:rPr>
                <w:rFonts w:ascii="Calibri" w:hAnsi="Calibri"/>
                <w:b w:val="0"/>
                <w:sz w:val="17"/>
              </w:rPr>
              <w:t>159.7</w:t>
            </w:r>
          </w:p>
        </w:tc>
        <w:tc>
          <w:tcPr>
            <w:tcW w:type="dxa" w:w="1368"/>
          </w:tcPr>
          <w:p>
            <w:pPr>
              <w:spacing w:before="20" w:after="20"/>
              <w:jc w:val="right"/>
            </w:pPr>
            <w:r/>
            <w:r>
              <w:rPr>
                <w:rFonts w:ascii="Calibri" w:hAnsi="Calibri"/>
                <w:b w:val="0"/>
                <w:sz w:val="17"/>
              </w:rPr>
              <w:t>159.7</w:t>
            </w:r>
          </w:p>
        </w:tc>
        <w:tc>
          <w:tcPr>
            <w:tcW w:type="dxa" w:w="1152"/>
          </w:tcPr>
          <w:p>
            <w:pPr>
              <w:spacing w:before="20" w:after="20"/>
              <w:jc w:val="right"/>
            </w:pPr>
            <w:r/>
            <w:r>
              <w:rPr>
                <w:rFonts w:ascii="Calibri" w:hAnsi="Calibri"/>
                <w:b w:val="0"/>
                <w:sz w:val="17"/>
              </w:rPr>
              <w:t>+0.0</w:t>
            </w:r>
          </w:p>
        </w:tc>
        <w:tc>
          <w:tcPr>
            <w:tcW w:type="dxa" w:w="2088"/>
          </w:tcPr>
          <w:p>
            <w:pPr>
              <w:spacing w:before="20" w:after="20"/>
              <w:jc w:val="right"/>
            </w:pPr>
            <w:r/>
            <w:r>
              <w:rPr>
                <w:rFonts w:ascii="Calibri" w:hAnsi="Calibri"/>
                <w:b w:val="0"/>
                <w:sz w:val="17"/>
              </w:rPr>
              <w:t>141.2</w:t>
            </w:r>
          </w:p>
        </w:tc>
        <w:tc>
          <w:tcPr>
            <w:tcW w:type="dxa" w:w="1944"/>
          </w:tcPr>
          <w:p>
            <w:pPr>
              <w:spacing w:before="20" w:after="20"/>
              <w:jc w:val="right"/>
            </w:pPr>
            <w:r/>
            <w:r>
              <w:rPr>
                <w:rFonts w:ascii="Calibri" w:hAnsi="Calibri"/>
                <w:b w:val="0"/>
                <w:sz w:val="17"/>
              </w:rPr>
              <w:t>136</w:t>
            </w:r>
          </w:p>
        </w:tc>
        <w:tc>
          <w:tcPr>
            <w:tcW w:type="dxa" w:w="1584"/>
          </w:tcPr>
          <w:p>
            <w:pPr>
              <w:spacing w:before="20" w:after="20"/>
              <w:jc w:val="right"/>
            </w:pPr>
            <w:r/>
            <w:r>
              <w:rPr>
                <w:rFonts w:ascii="Calibri" w:hAnsi="Calibri"/>
                <w:b w:val="0"/>
                <w:sz w:val="17"/>
              </w:rPr>
              <w:t>+5.2</w:t>
            </w:r>
          </w:p>
        </w:tc>
        <w:tc>
          <w:tcPr>
            <w:tcW w:type="dxa" w:w="2520"/>
          </w:tcPr>
          <w:p>
            <w:pPr>
              <w:spacing w:before="20" w:after="20"/>
              <w:jc w:val="left"/>
            </w:pPr>
            <w:r/>
            <w:r>
              <w:rPr>
                <w:rFonts w:ascii="Calibri" w:hAnsi="Calibri"/>
                <w:b w:val="0"/>
                <w:sz w:val="17"/>
              </w:rPr>
              <w:t>S2-_2p32_2.png</w:t>
            </w:r>
          </w:p>
        </w:tc>
      </w:tr>
    </w:tbl>
    <w:p/>
    <w:p>
      <w:pPr>
        <w:keepNext/>
        <w:spacing w:before="40" w:after="80"/>
      </w:pPr>
      <w:r>
        <w:rPr>
          <w:rFonts w:ascii="Calibri" w:hAnsi="Calibri"/>
          <w:b/>
          <w:sz w:val="19"/>
        </w:rPr>
        <w:t>Table 2. Bioactive column performance either side of the failure day.</w:t>
      </w:r>
    </w:p>
    <w:tbl>
      <w:tblPr>
        <w:tblStyle w:val="TableGrid"/>
        <w:tblW w:type="auto" w:w="0"/>
        <w:tblLayout w:type="fixed"/>
        <w:tblLook w:firstColumn="1" w:firstRow="1" w:lastColumn="0" w:lastRow="0" w:noHBand="0" w:noVBand="1" w:val="04A0"/>
        <w:tblLayout w:type="fixed"/>
      </w:tblPr>
      <w:tblGrid>
        <w:gridCol w:w="1584"/>
        <w:gridCol w:w="1368"/>
        <w:gridCol w:w="1800"/>
        <w:gridCol w:w="1800"/>
        <w:gridCol w:w="1728"/>
        <w:gridCol w:w="1872"/>
        <w:gridCol w:w="1872"/>
        <w:gridCol w:w="1800"/>
      </w:tblGrid>
      <w:tr>
        <w:trPr>
          <w:tblHeader w:val="true"/>
        </w:trPr>
        <w:tc>
          <w:tcPr>
            <w:tcW w:type="dxa" w:w="1584"/>
            <w:shd w:val="clear" w:fill="1F4E5F"/>
          </w:tcPr>
          <w:p>
            <w:pPr>
              <w:spacing w:before="20" w:after="20"/>
              <w:jc w:val="center"/>
            </w:pPr>
            <w:r/>
            <w:r>
              <w:rPr>
                <w:rFonts w:ascii="Calibri" w:hAnsi="Calibri"/>
                <w:b/>
                <w:color w:val="FFFFFF"/>
                <w:sz w:val="17"/>
              </w:rPr>
              <w:t>Analyte</w:t>
            </w:r>
          </w:p>
        </w:tc>
        <w:tc>
          <w:tcPr>
            <w:tcW w:type="dxa" w:w="1368"/>
            <w:shd w:val="clear" w:fill="1F4E5F"/>
          </w:tcPr>
          <w:p>
            <w:pPr>
              <w:spacing w:before="20" w:after="20"/>
              <w:jc w:val="center"/>
            </w:pPr>
            <w:r/>
            <w:r>
              <w:rPr>
                <w:rFonts w:ascii="Calibri" w:hAnsi="Calibri"/>
                <w:b/>
                <w:color w:val="FFFFFF"/>
                <w:sz w:val="17"/>
              </w:rPr>
              <w:t>Table 1 influent</w:t>
            </w:r>
          </w:p>
        </w:tc>
        <w:tc>
          <w:tcPr>
            <w:tcW w:type="dxa" w:w="1800"/>
            <w:shd w:val="clear" w:fill="1F4E5F"/>
          </w:tcPr>
          <w:p>
            <w:pPr>
              <w:spacing w:before="20" w:after="20"/>
              <w:jc w:val="center"/>
            </w:pPr>
            <w:r/>
            <w:r>
              <w:rPr>
                <w:rFonts w:ascii="Calibri" w:hAnsi="Calibri"/>
                <w:b/>
                <w:color w:val="FFFFFF"/>
                <w:sz w:val="17"/>
              </w:rPr>
              <w:t>Mean influent, operating</w:t>
            </w:r>
          </w:p>
        </w:tc>
        <w:tc>
          <w:tcPr>
            <w:tcW w:type="dxa" w:w="1800"/>
            <w:shd w:val="clear" w:fill="1F4E5F"/>
          </w:tcPr>
          <w:p>
            <w:pPr>
              <w:spacing w:before="20" w:after="20"/>
              <w:jc w:val="center"/>
            </w:pPr>
            <w:r/>
            <w:r>
              <w:rPr>
                <w:rFonts w:ascii="Calibri" w:hAnsi="Calibri"/>
                <w:b/>
                <w:color w:val="FFFFFF"/>
                <w:sz w:val="17"/>
              </w:rPr>
              <w:t>Mean effluent, operating</w:t>
            </w:r>
          </w:p>
        </w:tc>
        <w:tc>
          <w:tcPr>
            <w:tcW w:type="dxa" w:w="1728"/>
            <w:shd w:val="clear" w:fill="1F4E5F"/>
          </w:tcPr>
          <w:p>
            <w:pPr>
              <w:spacing w:before="20" w:after="20"/>
              <w:jc w:val="center"/>
            </w:pPr>
            <w:r/>
            <w:r>
              <w:rPr>
                <w:rFonts w:ascii="Calibri" w:hAnsi="Calibri"/>
                <w:b/>
                <w:color w:val="FFFFFF"/>
                <w:sz w:val="17"/>
              </w:rPr>
              <w:t>Removal, operating (%)</w:t>
            </w:r>
          </w:p>
        </w:tc>
        <w:tc>
          <w:tcPr>
            <w:tcW w:type="dxa" w:w="1872"/>
            <w:shd w:val="clear" w:fill="1F4E5F"/>
          </w:tcPr>
          <w:p>
            <w:pPr>
              <w:spacing w:before="20" w:after="20"/>
              <w:jc w:val="center"/>
            </w:pPr>
            <w:r/>
            <w:r>
              <w:rPr>
                <w:rFonts w:ascii="Calibri" w:hAnsi="Calibri"/>
                <w:b/>
                <w:color w:val="FFFFFF"/>
                <w:sz w:val="17"/>
              </w:rPr>
              <w:t>Mean influent, after failure</w:t>
            </w:r>
          </w:p>
        </w:tc>
        <w:tc>
          <w:tcPr>
            <w:tcW w:type="dxa" w:w="1872"/>
            <w:shd w:val="clear" w:fill="1F4E5F"/>
          </w:tcPr>
          <w:p>
            <w:pPr>
              <w:spacing w:before="20" w:after="20"/>
              <w:jc w:val="center"/>
            </w:pPr>
            <w:r/>
            <w:r>
              <w:rPr>
                <w:rFonts w:ascii="Calibri" w:hAnsi="Calibri"/>
                <w:b/>
                <w:color w:val="FFFFFF"/>
                <w:sz w:val="17"/>
              </w:rPr>
              <w:t>Mean effluent, after failure</w:t>
            </w:r>
          </w:p>
        </w:tc>
        <w:tc>
          <w:tcPr>
            <w:tcW w:type="dxa" w:w="1800"/>
            <w:shd w:val="clear" w:fill="1F4E5F"/>
          </w:tcPr>
          <w:p>
            <w:pPr>
              <w:spacing w:before="20" w:after="20"/>
              <w:jc w:val="center"/>
            </w:pPr>
            <w:r/>
            <w:r>
              <w:rPr>
                <w:rFonts w:ascii="Calibri" w:hAnsi="Calibri"/>
                <w:b/>
                <w:color w:val="FFFFFF"/>
                <w:sz w:val="17"/>
              </w:rPr>
              <w:t>Removal, after failure (%)</w:t>
            </w:r>
          </w:p>
        </w:tc>
      </w:tr>
      <w:tr>
        <w:tc>
          <w:tcPr>
            <w:tcW w:type="dxa" w:w="1584"/>
            <w:shd w:val="clear" w:fill="EEF1F4"/>
          </w:tcPr>
          <w:p>
            <w:pPr>
              <w:spacing w:before="20" w:after="20"/>
              <w:jc w:val="left"/>
            </w:pPr>
            <w:r/>
            <w:r>
              <w:rPr>
                <w:rFonts w:ascii="Calibri" w:hAnsi="Calibri"/>
                <w:b w:val="0"/>
                <w:sz w:val="17"/>
              </w:rPr>
              <w:t>Sulfate (mg/L)</w:t>
            </w:r>
          </w:p>
        </w:tc>
        <w:tc>
          <w:tcPr>
            <w:tcW w:type="dxa" w:w="1368"/>
            <w:shd w:val="clear" w:fill="EEF1F4"/>
          </w:tcPr>
          <w:p>
            <w:pPr>
              <w:spacing w:before="20" w:after="20"/>
              <w:jc w:val="right"/>
            </w:pPr>
            <w:r/>
            <w:r>
              <w:rPr>
                <w:rFonts w:ascii="Calibri" w:hAnsi="Calibri"/>
                <w:b w:val="0"/>
                <w:sz w:val="17"/>
              </w:rPr>
              <w:t>1990</w:t>
            </w:r>
          </w:p>
        </w:tc>
        <w:tc>
          <w:tcPr>
            <w:tcW w:type="dxa" w:w="1800"/>
            <w:shd w:val="clear" w:fill="EEF1F4"/>
          </w:tcPr>
          <w:p>
            <w:pPr>
              <w:spacing w:before="20" w:after="20"/>
              <w:jc w:val="right"/>
            </w:pPr>
            <w:r/>
            <w:r>
              <w:rPr>
                <w:rFonts w:ascii="Calibri" w:hAnsi="Calibri"/>
                <w:b w:val="0"/>
                <w:sz w:val="17"/>
              </w:rPr>
              <w:t>1960</w:t>
            </w:r>
          </w:p>
        </w:tc>
        <w:tc>
          <w:tcPr>
            <w:tcW w:type="dxa" w:w="1800"/>
            <w:shd w:val="clear" w:fill="EEF1F4"/>
          </w:tcPr>
          <w:p>
            <w:pPr>
              <w:spacing w:before="20" w:after="20"/>
              <w:jc w:val="right"/>
            </w:pPr>
            <w:r/>
            <w:r>
              <w:rPr>
                <w:rFonts w:ascii="Calibri" w:hAnsi="Calibri"/>
                <w:b w:val="0"/>
                <w:sz w:val="17"/>
              </w:rPr>
              <w:t>619</w:t>
            </w:r>
          </w:p>
        </w:tc>
        <w:tc>
          <w:tcPr>
            <w:tcW w:type="dxa" w:w="1728"/>
            <w:shd w:val="clear" w:fill="EEF1F4"/>
          </w:tcPr>
          <w:p>
            <w:pPr>
              <w:spacing w:before="20" w:after="20"/>
              <w:jc w:val="right"/>
            </w:pPr>
            <w:r/>
            <w:r>
              <w:rPr>
                <w:rFonts w:ascii="Calibri" w:hAnsi="Calibri"/>
                <w:b w:val="0"/>
                <w:sz w:val="17"/>
              </w:rPr>
              <w:t>68.4</w:t>
            </w:r>
          </w:p>
        </w:tc>
        <w:tc>
          <w:tcPr>
            <w:tcW w:type="dxa" w:w="1872"/>
            <w:shd w:val="clear" w:fill="EEF1F4"/>
          </w:tcPr>
          <w:p>
            <w:pPr>
              <w:spacing w:before="20" w:after="20"/>
              <w:jc w:val="right"/>
            </w:pPr>
            <w:r/>
            <w:r>
              <w:rPr>
                <w:rFonts w:ascii="Calibri" w:hAnsi="Calibri"/>
                <w:b w:val="0"/>
                <w:sz w:val="17"/>
              </w:rPr>
              <w:t>2540</w:t>
            </w:r>
          </w:p>
        </w:tc>
        <w:tc>
          <w:tcPr>
            <w:tcW w:type="dxa" w:w="1872"/>
            <w:shd w:val="clear" w:fill="EEF1F4"/>
          </w:tcPr>
          <w:p>
            <w:pPr>
              <w:spacing w:before="20" w:after="20"/>
              <w:jc w:val="right"/>
            </w:pPr>
            <w:r/>
            <w:r>
              <w:rPr>
                <w:rFonts w:ascii="Calibri" w:hAnsi="Calibri"/>
                <w:b w:val="0"/>
                <w:sz w:val="17"/>
              </w:rPr>
              <w:t>1430</w:t>
            </w:r>
          </w:p>
        </w:tc>
        <w:tc>
          <w:tcPr>
            <w:tcW w:type="dxa" w:w="1800"/>
            <w:shd w:val="clear" w:fill="EEF1F4"/>
          </w:tcPr>
          <w:p>
            <w:pPr>
              <w:spacing w:before="20" w:after="20"/>
              <w:jc w:val="left"/>
            </w:pPr>
            <w:r/>
            <w:r>
              <w:rPr>
                <w:rFonts w:ascii="Calibri" w:hAnsi="Calibri"/>
                <w:b w:val="0"/>
                <w:sz w:val="17"/>
              </w:rPr>
              <w:t>43.6</w:t>
            </w:r>
          </w:p>
        </w:tc>
      </w:tr>
      <w:tr>
        <w:tc>
          <w:tcPr>
            <w:tcW w:type="dxa" w:w="1584"/>
          </w:tcPr>
          <w:p>
            <w:pPr>
              <w:spacing w:before="20" w:after="20"/>
              <w:jc w:val="left"/>
            </w:pPr>
            <w:r/>
            <w:r>
              <w:rPr>
                <w:rFonts w:ascii="Calibri" w:hAnsi="Calibri"/>
                <w:b w:val="0"/>
                <w:sz w:val="17"/>
              </w:rPr>
              <w:t>Cd (mg/L)</w:t>
            </w:r>
          </w:p>
        </w:tc>
        <w:tc>
          <w:tcPr>
            <w:tcW w:type="dxa" w:w="1368"/>
          </w:tcPr>
          <w:p>
            <w:pPr>
              <w:spacing w:before="20" w:after="20"/>
              <w:jc w:val="right"/>
            </w:pPr>
            <w:r/>
            <w:r>
              <w:rPr>
                <w:rFonts w:ascii="Calibri" w:hAnsi="Calibri"/>
                <w:b w:val="0"/>
                <w:sz w:val="17"/>
              </w:rPr>
              <w:t>0.296</w:t>
            </w:r>
          </w:p>
        </w:tc>
        <w:tc>
          <w:tcPr>
            <w:tcW w:type="dxa" w:w="1800"/>
          </w:tcPr>
          <w:p>
            <w:pPr>
              <w:spacing w:before="20" w:after="20"/>
              <w:jc w:val="right"/>
            </w:pPr>
            <w:r/>
            <w:r>
              <w:rPr>
                <w:rFonts w:ascii="Calibri" w:hAnsi="Calibri"/>
                <w:b w:val="0"/>
                <w:sz w:val="17"/>
              </w:rPr>
              <w:t>0.297</w:t>
            </w:r>
          </w:p>
        </w:tc>
        <w:tc>
          <w:tcPr>
            <w:tcW w:type="dxa" w:w="1800"/>
          </w:tcPr>
          <w:p>
            <w:pPr>
              <w:spacing w:before="20" w:after="20"/>
              <w:jc w:val="right"/>
            </w:pPr>
            <w:r/>
            <w:r>
              <w:rPr>
                <w:rFonts w:ascii="Calibri" w:hAnsi="Calibri"/>
                <w:b w:val="0"/>
                <w:sz w:val="17"/>
              </w:rPr>
              <w:t>0.00138</w:t>
            </w:r>
          </w:p>
        </w:tc>
        <w:tc>
          <w:tcPr>
            <w:tcW w:type="dxa" w:w="1728"/>
          </w:tcPr>
          <w:p>
            <w:pPr>
              <w:spacing w:before="20" w:after="20"/>
              <w:jc w:val="right"/>
            </w:pPr>
            <w:r/>
            <w:r>
              <w:rPr>
                <w:rFonts w:ascii="Calibri" w:hAnsi="Calibri"/>
                <w:b w:val="0"/>
                <w:sz w:val="17"/>
              </w:rPr>
              <w:t>99.5</w:t>
            </w:r>
          </w:p>
        </w:tc>
        <w:tc>
          <w:tcPr>
            <w:tcW w:type="dxa" w:w="1872"/>
          </w:tcPr>
          <w:p>
            <w:pPr>
              <w:spacing w:before="20" w:after="20"/>
              <w:jc w:val="right"/>
            </w:pPr>
            <w:r/>
            <w:r>
              <w:rPr>
                <w:rFonts w:ascii="Calibri" w:hAnsi="Calibri"/>
                <w:b w:val="0"/>
                <w:sz w:val="17"/>
              </w:rPr>
              <w:t>0.283</w:t>
            </w:r>
          </w:p>
        </w:tc>
        <w:tc>
          <w:tcPr>
            <w:tcW w:type="dxa" w:w="1872"/>
          </w:tcPr>
          <w:p>
            <w:pPr>
              <w:spacing w:before="20" w:after="20"/>
              <w:jc w:val="right"/>
            </w:pPr>
            <w:r/>
            <w:r>
              <w:rPr>
                <w:rFonts w:ascii="Calibri" w:hAnsi="Calibri"/>
                <w:b w:val="0"/>
                <w:sz w:val="17"/>
              </w:rPr>
              <w:t>0.00100</w:t>
            </w:r>
          </w:p>
        </w:tc>
        <w:tc>
          <w:tcPr>
            <w:tcW w:type="dxa" w:w="1800"/>
          </w:tcPr>
          <w:p>
            <w:pPr>
              <w:spacing w:before="20" w:after="20"/>
              <w:jc w:val="left"/>
            </w:pPr>
            <w:r/>
            <w:r>
              <w:rPr>
                <w:rFonts w:ascii="Calibri" w:hAnsi="Calibri"/>
                <w:b w:val="0"/>
                <w:sz w:val="17"/>
              </w:rPr>
              <w:t>99.6</w:t>
            </w:r>
          </w:p>
        </w:tc>
      </w:tr>
      <w:tr>
        <w:tc>
          <w:tcPr>
            <w:tcW w:type="dxa" w:w="1584"/>
            <w:shd w:val="clear" w:fill="EEF1F4"/>
          </w:tcPr>
          <w:p>
            <w:pPr>
              <w:spacing w:before="20" w:after="20"/>
              <w:jc w:val="left"/>
            </w:pPr>
            <w:r/>
            <w:r>
              <w:rPr>
                <w:rFonts w:ascii="Calibri" w:hAnsi="Calibri"/>
                <w:b w:val="0"/>
                <w:sz w:val="17"/>
              </w:rPr>
              <w:t>Fe (mg/L)</w:t>
            </w:r>
          </w:p>
        </w:tc>
        <w:tc>
          <w:tcPr>
            <w:tcW w:type="dxa" w:w="1368"/>
            <w:shd w:val="clear" w:fill="EEF1F4"/>
          </w:tcPr>
          <w:p>
            <w:pPr>
              <w:spacing w:before="20" w:after="20"/>
              <w:jc w:val="right"/>
            </w:pPr>
            <w:r/>
            <w:r>
              <w:rPr>
                <w:rFonts w:ascii="Calibri" w:hAnsi="Calibri"/>
                <w:b w:val="0"/>
                <w:sz w:val="17"/>
              </w:rPr>
              <w:t>24.0</w:t>
            </w:r>
          </w:p>
        </w:tc>
        <w:tc>
          <w:tcPr>
            <w:tcW w:type="dxa" w:w="1800"/>
            <w:shd w:val="clear" w:fill="EEF1F4"/>
          </w:tcPr>
          <w:p>
            <w:pPr>
              <w:spacing w:before="20" w:after="20"/>
              <w:jc w:val="right"/>
            </w:pPr>
            <w:r/>
            <w:r>
              <w:rPr>
                <w:rFonts w:ascii="Calibri" w:hAnsi="Calibri"/>
                <w:b w:val="0"/>
                <w:sz w:val="17"/>
              </w:rPr>
              <w:t>24.5</w:t>
            </w:r>
          </w:p>
        </w:tc>
        <w:tc>
          <w:tcPr>
            <w:tcW w:type="dxa" w:w="1800"/>
            <w:shd w:val="clear" w:fill="EEF1F4"/>
          </w:tcPr>
          <w:p>
            <w:pPr>
              <w:spacing w:before="20" w:after="20"/>
              <w:jc w:val="right"/>
            </w:pPr>
            <w:r/>
            <w:r>
              <w:rPr>
                <w:rFonts w:ascii="Calibri" w:hAnsi="Calibri"/>
                <w:b w:val="0"/>
                <w:sz w:val="17"/>
              </w:rPr>
              <w:t>8.82</w:t>
            </w:r>
          </w:p>
        </w:tc>
        <w:tc>
          <w:tcPr>
            <w:tcW w:type="dxa" w:w="1728"/>
            <w:shd w:val="clear" w:fill="EEF1F4"/>
          </w:tcPr>
          <w:p>
            <w:pPr>
              <w:spacing w:before="20" w:after="20"/>
              <w:jc w:val="right"/>
            </w:pPr>
            <w:r/>
            <w:r>
              <w:rPr>
                <w:rFonts w:ascii="Calibri" w:hAnsi="Calibri"/>
                <w:b w:val="0"/>
                <w:sz w:val="17"/>
              </w:rPr>
              <w:t>64.1</w:t>
            </w:r>
          </w:p>
        </w:tc>
        <w:tc>
          <w:tcPr>
            <w:tcW w:type="dxa" w:w="1872"/>
            <w:shd w:val="clear" w:fill="EEF1F4"/>
          </w:tcPr>
          <w:p>
            <w:pPr>
              <w:spacing w:before="20" w:after="20"/>
              <w:jc w:val="right"/>
            </w:pPr>
            <w:r/>
            <w:r>
              <w:rPr>
                <w:rFonts w:ascii="Calibri" w:hAnsi="Calibri"/>
                <w:b w:val="0"/>
                <w:sz w:val="17"/>
              </w:rPr>
              <w:t>12.7</w:t>
            </w:r>
          </w:p>
        </w:tc>
        <w:tc>
          <w:tcPr>
            <w:tcW w:type="dxa" w:w="1872"/>
            <w:shd w:val="clear" w:fill="EEF1F4"/>
          </w:tcPr>
          <w:p>
            <w:pPr>
              <w:spacing w:before="20" w:after="20"/>
              <w:jc w:val="right"/>
            </w:pPr>
            <w:r/>
            <w:r>
              <w:rPr>
                <w:rFonts w:ascii="Calibri" w:hAnsi="Calibri"/>
                <w:b w:val="0"/>
                <w:sz w:val="17"/>
              </w:rPr>
              <w:t>37.8</w:t>
            </w:r>
          </w:p>
        </w:tc>
        <w:tc>
          <w:tcPr>
            <w:tcW w:type="dxa" w:w="1800"/>
            <w:shd w:val="clear" w:fill="EEF1F4"/>
          </w:tcPr>
          <w:p>
            <w:pPr>
              <w:spacing w:before="20" w:after="20"/>
              <w:jc w:val="left"/>
            </w:pPr>
            <w:r>
              <w:rPr>
                <w:b/>
                <w:color w:val="C1443F"/>
              </w:rPr>
            </w:r>
            <w:r>
              <w:rPr>
                <w:rFonts w:ascii="Calibri" w:hAnsi="Calibri"/>
                <w:b/>
                <w:color w:val="C1443F"/>
                <w:sz w:val="17"/>
              </w:rPr>
              <w:t>-198.2</w:t>
            </w:r>
          </w:p>
        </w:tc>
      </w:tr>
      <w:tr>
        <w:tc>
          <w:tcPr>
            <w:tcW w:type="dxa" w:w="1584"/>
          </w:tcPr>
          <w:p>
            <w:pPr>
              <w:spacing w:before="20" w:after="20"/>
              <w:jc w:val="left"/>
            </w:pPr>
            <w:r/>
            <w:r>
              <w:rPr>
                <w:rFonts w:ascii="Calibri" w:hAnsi="Calibri"/>
                <w:b w:val="0"/>
                <w:sz w:val="17"/>
              </w:rPr>
              <w:t>Mn (mg/L)</w:t>
            </w:r>
          </w:p>
        </w:tc>
        <w:tc>
          <w:tcPr>
            <w:tcW w:type="dxa" w:w="1368"/>
          </w:tcPr>
          <w:p>
            <w:pPr>
              <w:spacing w:before="20" w:after="20"/>
              <w:jc w:val="right"/>
            </w:pPr>
            <w:r/>
            <w:r>
              <w:rPr>
                <w:rFonts w:ascii="Calibri" w:hAnsi="Calibri"/>
                <w:b w:val="0"/>
                <w:sz w:val="17"/>
              </w:rPr>
              <w:t>1.67</w:t>
            </w:r>
          </w:p>
        </w:tc>
        <w:tc>
          <w:tcPr>
            <w:tcW w:type="dxa" w:w="1800"/>
          </w:tcPr>
          <w:p>
            <w:pPr>
              <w:spacing w:before="20" w:after="20"/>
              <w:jc w:val="right"/>
            </w:pPr>
            <w:r/>
            <w:r>
              <w:rPr>
                <w:rFonts w:ascii="Calibri" w:hAnsi="Calibri"/>
                <w:b w:val="0"/>
                <w:sz w:val="17"/>
              </w:rPr>
              <w:t>1.67</w:t>
            </w:r>
          </w:p>
        </w:tc>
        <w:tc>
          <w:tcPr>
            <w:tcW w:type="dxa" w:w="1800"/>
          </w:tcPr>
          <w:p>
            <w:pPr>
              <w:spacing w:before="20" w:after="20"/>
              <w:jc w:val="right"/>
            </w:pPr>
            <w:r/>
            <w:r>
              <w:rPr>
                <w:rFonts w:ascii="Calibri" w:hAnsi="Calibri"/>
                <w:b w:val="0"/>
                <w:sz w:val="17"/>
              </w:rPr>
              <w:t>1.19</w:t>
            </w:r>
          </w:p>
        </w:tc>
        <w:tc>
          <w:tcPr>
            <w:tcW w:type="dxa" w:w="1728"/>
          </w:tcPr>
          <w:p>
            <w:pPr>
              <w:spacing w:before="20" w:after="20"/>
              <w:jc w:val="right"/>
            </w:pPr>
            <w:r/>
            <w:r>
              <w:rPr>
                <w:rFonts w:ascii="Calibri" w:hAnsi="Calibri"/>
                <w:b w:val="0"/>
                <w:sz w:val="17"/>
              </w:rPr>
              <w:t>29.0</w:t>
            </w:r>
          </w:p>
        </w:tc>
        <w:tc>
          <w:tcPr>
            <w:tcW w:type="dxa" w:w="1872"/>
          </w:tcPr>
          <w:p>
            <w:pPr>
              <w:spacing w:before="20" w:after="20"/>
              <w:jc w:val="right"/>
            </w:pPr>
            <w:r/>
            <w:r>
              <w:rPr>
                <w:rFonts w:ascii="Calibri" w:hAnsi="Calibri"/>
                <w:b w:val="0"/>
                <w:sz w:val="17"/>
              </w:rPr>
              <w:t>1.65</w:t>
            </w:r>
          </w:p>
        </w:tc>
        <w:tc>
          <w:tcPr>
            <w:tcW w:type="dxa" w:w="1872"/>
          </w:tcPr>
          <w:p>
            <w:pPr>
              <w:spacing w:before="20" w:after="20"/>
              <w:jc w:val="right"/>
            </w:pPr>
            <w:r/>
            <w:r>
              <w:rPr>
                <w:rFonts w:ascii="Calibri" w:hAnsi="Calibri"/>
                <w:b w:val="0"/>
                <w:sz w:val="17"/>
              </w:rPr>
              <w:t>2.99</w:t>
            </w:r>
          </w:p>
        </w:tc>
        <w:tc>
          <w:tcPr>
            <w:tcW w:type="dxa" w:w="1800"/>
          </w:tcPr>
          <w:p>
            <w:pPr>
              <w:spacing w:before="20" w:after="20"/>
              <w:jc w:val="left"/>
            </w:pPr>
            <w:r>
              <w:rPr>
                <w:b/>
                <w:color w:val="C1443F"/>
              </w:rPr>
            </w:r>
            <w:r>
              <w:rPr>
                <w:rFonts w:ascii="Calibri" w:hAnsi="Calibri"/>
                <w:b/>
                <w:color w:val="C1443F"/>
                <w:sz w:val="17"/>
              </w:rPr>
              <w:t>-81.1</w:t>
            </w:r>
          </w:p>
        </w:tc>
      </w:tr>
      <w:tr>
        <w:tc>
          <w:tcPr>
            <w:tcW w:type="dxa" w:w="1584"/>
            <w:shd w:val="clear" w:fill="EEF1F4"/>
          </w:tcPr>
          <w:p>
            <w:pPr>
              <w:spacing w:before="20" w:after="20"/>
              <w:jc w:val="left"/>
            </w:pPr>
            <w:r/>
            <w:r>
              <w:rPr>
                <w:rFonts w:ascii="Calibri" w:hAnsi="Calibri"/>
                <w:b w:val="0"/>
                <w:sz w:val="17"/>
              </w:rPr>
              <w:t>Zn (mg/L)</w:t>
            </w:r>
          </w:p>
        </w:tc>
        <w:tc>
          <w:tcPr>
            <w:tcW w:type="dxa" w:w="1368"/>
            <w:shd w:val="clear" w:fill="EEF1F4"/>
          </w:tcPr>
          <w:p>
            <w:pPr>
              <w:spacing w:before="20" w:after="20"/>
              <w:jc w:val="right"/>
            </w:pPr>
            <w:r/>
            <w:r>
              <w:rPr>
                <w:rFonts w:ascii="Calibri" w:hAnsi="Calibri"/>
                <w:b w:val="0"/>
                <w:sz w:val="17"/>
              </w:rPr>
              <w:t>72.9</w:t>
            </w:r>
          </w:p>
        </w:tc>
        <w:tc>
          <w:tcPr>
            <w:tcW w:type="dxa" w:w="1800"/>
            <w:shd w:val="clear" w:fill="EEF1F4"/>
          </w:tcPr>
          <w:p>
            <w:pPr>
              <w:spacing w:before="20" w:after="20"/>
              <w:jc w:val="right"/>
            </w:pPr>
            <w:r/>
            <w:r>
              <w:rPr>
                <w:rFonts w:ascii="Calibri" w:hAnsi="Calibri"/>
                <w:b w:val="0"/>
                <w:sz w:val="17"/>
              </w:rPr>
              <w:t>72.9</w:t>
            </w:r>
          </w:p>
        </w:tc>
        <w:tc>
          <w:tcPr>
            <w:tcW w:type="dxa" w:w="1800"/>
            <w:shd w:val="clear" w:fill="EEF1F4"/>
          </w:tcPr>
          <w:p>
            <w:pPr>
              <w:spacing w:before="20" w:after="20"/>
              <w:jc w:val="right"/>
            </w:pPr>
            <w:r/>
            <w:r>
              <w:rPr>
                <w:rFonts w:ascii="Calibri" w:hAnsi="Calibri"/>
                <w:b w:val="0"/>
                <w:sz w:val="17"/>
              </w:rPr>
              <w:t>0.172</w:t>
            </w:r>
          </w:p>
        </w:tc>
        <w:tc>
          <w:tcPr>
            <w:tcW w:type="dxa" w:w="1728"/>
            <w:shd w:val="clear" w:fill="EEF1F4"/>
          </w:tcPr>
          <w:p>
            <w:pPr>
              <w:spacing w:before="20" w:after="20"/>
              <w:jc w:val="right"/>
            </w:pPr>
            <w:r/>
            <w:r>
              <w:rPr>
                <w:rFonts w:ascii="Calibri" w:hAnsi="Calibri"/>
                <w:b w:val="0"/>
                <w:sz w:val="17"/>
              </w:rPr>
              <w:t>99.8</w:t>
            </w:r>
          </w:p>
        </w:tc>
        <w:tc>
          <w:tcPr>
            <w:tcW w:type="dxa" w:w="1872"/>
            <w:shd w:val="clear" w:fill="EEF1F4"/>
          </w:tcPr>
          <w:p>
            <w:pPr>
              <w:spacing w:before="20" w:after="20"/>
              <w:jc w:val="right"/>
            </w:pPr>
            <w:r/>
            <w:r>
              <w:rPr>
                <w:rFonts w:ascii="Calibri" w:hAnsi="Calibri"/>
                <w:b w:val="0"/>
                <w:sz w:val="17"/>
              </w:rPr>
              <w:t>72.5</w:t>
            </w:r>
          </w:p>
        </w:tc>
        <w:tc>
          <w:tcPr>
            <w:tcW w:type="dxa" w:w="1872"/>
            <w:shd w:val="clear" w:fill="EEF1F4"/>
          </w:tcPr>
          <w:p>
            <w:pPr>
              <w:spacing w:before="20" w:after="20"/>
              <w:jc w:val="right"/>
            </w:pPr>
            <w:r/>
            <w:r>
              <w:rPr>
                <w:rFonts w:ascii="Calibri" w:hAnsi="Calibri"/>
                <w:b w:val="0"/>
                <w:sz w:val="17"/>
              </w:rPr>
              <w:t>35.9</w:t>
            </w:r>
          </w:p>
        </w:tc>
        <w:tc>
          <w:tcPr>
            <w:tcW w:type="dxa" w:w="1800"/>
            <w:shd w:val="clear" w:fill="EEF1F4"/>
          </w:tcPr>
          <w:p>
            <w:pPr>
              <w:spacing w:before="20" w:after="20"/>
              <w:jc w:val="left"/>
            </w:pPr>
            <w:r/>
            <w:r>
              <w:rPr>
                <w:rFonts w:ascii="Calibri" w:hAnsi="Calibri"/>
                <w:b w:val="0"/>
                <w:sz w:val="17"/>
              </w:rPr>
              <w:t>50.6</w:t>
            </w:r>
          </w:p>
        </w:tc>
      </w:tr>
    </w:tbl>
    <w:p/>
    <w:p>
      <w:pPr>
        <w:keepNext/>
        <w:spacing w:after="200"/>
        <w:jc w:val="center"/>
      </w:pPr>
      <w:r>
        <w:drawing>
          <wp:inline xmlns:a="http://schemas.openxmlformats.org/drawingml/2006/main" xmlns:pic="http://schemas.openxmlformats.org/drawingml/2006/picture">
            <wp:extent cx="6400800" cy="5818909"/>
            <wp:docPr id="1" name="Picture 1"/>
            <wp:cNvGraphicFramePr>
              <a:graphicFrameLocks noChangeAspect="1"/>
            </wp:cNvGraphicFramePr>
            <a:graphic>
              <a:graphicData uri="http://schemas.openxmlformats.org/drawingml/2006/picture">
                <pic:pic>
                  <pic:nvPicPr>
                    <pic:cNvPr id="0" name="_figure_preview.png"/>
                    <pic:cNvPicPr/>
                  </pic:nvPicPr>
                  <pic:blipFill>
                    <a:blip r:embed="rId9"/>
                    <a:stretch>
                      <a:fillRect/>
                    </a:stretch>
                  </pic:blipFill>
                  <pic:spPr>
                    <a:xfrm>
                      <a:off x="0" y="0"/>
                      <a:ext cx="6400800" cy="5818909"/>
                    </a:xfrm>
                    <a:prstGeom prst="rect"/>
                  </pic:spPr>
                </pic:pic>
              </a:graphicData>
            </a:graphic>
          </wp:inline>
        </w:drawing>
      </w:r>
    </w:p>
    <w:p>
      <w:pPr>
        <w:spacing w:before="40" w:after="80"/>
      </w:pPr>
      <w:r>
        <w:rPr>
          <w:rFonts w:ascii="Calibri" w:hAnsi="Calibri"/>
          <w:b/>
          <w:sz w:val="19"/>
        </w:rPr>
        <w:t>Figure 1. Sulfur 2p region and column performance.</w:t>
      </w:r>
    </w:p>
    <w:p>
      <w:pPr>
        <w:keepNext/>
        <w:spacing w:after="160"/>
      </w:pPr>
      <w:r>
        <w:rPr>
          <w:rFonts w:ascii="Calibri" w:hAnsi="Calibri"/>
          <w:b/>
          <w:color w:val="1F4E5F"/>
          <w:sz w:val="25"/>
        </w:rPr>
        <w:t>Conclusions</w:t>
      </w:r>
    </w:p>
    <w:p>
      <w:pPr>
        <w:spacing w:after="200"/>
        <w:jc w:val="both"/>
      </w:pPr>
      <w:r>
        <w:rPr>
          <w:rFonts w:ascii="Calibri" w:hAnsi="Calibri"/>
          <w:sz w:val="21"/>
        </w:rPr>
        <w:t>All 6 reference species were resolved on the smoothed trace. The largest offset is 0.3 eV at S2- 2p1/2, which sits below its reference value; two maxima lie equally close to that reference, at 162.8 and 162.2 eV, and the taller of the two was taken. The modelled heights and the measured amplitudes agree closely for the isolated components but diverge where the doublet overlaps, most at S2- 2p3/2, where the measured amplitude exceeds the modelled height by 92.8 counts/s because the strong component at 159.7 eV sits under it. Reduced sulfur dominates the surface: the S2- components carry 7.76 times the modelled height of the S4+ components. On the aqueous side the column held sulfate removal at 68.4 per cent and zinc removal at 99.8 per cent while the treated effluent averaged pH 6.43. From day 458 the effluent pH averages 3.24, sulfate removal falls to 43.6 per cent and zinc removal to 50.6 per cent, while iron and manganese turn negative at -198.2 and -81.1 per cent, so the column releases more of both than it receives once the sulfide inventory is exhausted.</w:t>
      </w:r>
    </w:p>
    <w:sectPr w:rsidR="00FC693F" w:rsidRPr="0006063C" w:rsidSect="00034616">
      <w:pgSz w:w="15840" w:h="122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