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rlito" w:hAnsi="Carlito"/>
          <w:b/>
          <w:i w:val="0"/>
          <w:sz w:val="20"/>
        </w:rPr>
        <w:t>Adsorbent cost comparison</w:t>
      </w:r>
    </w:p>
    <w:p>
      <w:pPr>
        <w:spacing w:after="100"/>
      </w:pPr>
      <w:r>
        <w:rPr>
          <w:rFonts w:ascii="Carlito" w:hAnsi="Carlito"/>
          <w:b w:val="0"/>
          <w:i/>
          <w:sz w:val="20"/>
        </w:rPr>
        <w:t>CTSAgn against the four benchmark adsorbents, on released product.</w:t>
      </w:r>
    </w:p>
    <w:tbl>
      <w:tblPr>
        <w:tblStyle w:val="TableGrid"/>
        <w:tblW w:type="dxa" w:w="10008"/>
        <w:jc w:val="center"/>
        <w:tblLayout w:type="fixed"/>
        <w:tblCellMar>
          <w:top w:w="30" w:type="dxa"/>
          <w:left w:w="60" w:type="dxa"/>
          <w:bottom w:w="30" w:type="dxa"/>
          <w:right w:w="60" w:type="dxa"/>
        </w:tblCellMar>
        <w:tblLook w:firstColumn="1" w:firstRow="1" w:lastColumn="0" w:lastRow="0" w:noHBand="0" w:noVBand="1" w:val="04A0"/>
      </w:tblPr>
      <w:tblGrid>
        <w:gridCol w:w="2088"/>
        <w:gridCol w:w="1368"/>
        <w:gridCol w:w="1368"/>
        <w:gridCol w:w="1512"/>
        <w:gridCol w:w="2160"/>
        <w:gridCol w:w="1512"/>
      </w:tblGrid>
      <w:tr>
        <w:trPr>
          <w:tblHeader w:val="true"/>
          <w:cantSplit w:val="true"/>
        </w:trPr>
        <w:tc>
          <w:tcPr>
            <w:tcW w:type="dxa" w:w="2088"/>
            <w:shd w:val="clear" w:color="auto" w:fill="D9E2F3"/>
          </w:tcPr>
          <w:p>
            <w:pPr>
              <w:spacing w:after="0"/>
            </w:pPr>
            <w:r>
              <w:rPr>
                <w:rFonts w:ascii="Carlito" w:hAnsi="Carlito"/>
                <w:b/>
                <w:sz w:val="19"/>
              </w:rPr>
              <w:t>Adsorbent</w:t>
            </w:r>
          </w:p>
        </w:tc>
        <w:tc>
          <w:tcPr>
            <w:tcW w:type="dxa" w:w="1368"/>
            <w:shd w:val="clear" w:color="auto" w:fill="D9E2F3"/>
          </w:tcPr>
          <w:p>
            <w:pPr>
              <w:spacing w:after="0"/>
            </w:pPr>
            <w:r>
              <w:rPr>
                <w:rFonts w:ascii="Carlito" w:hAnsi="Carlito"/>
                <w:b/>
                <w:sz w:val="19"/>
              </w:rPr>
              <w:t>Cost ($/kg)</w:t>
            </w:r>
          </w:p>
        </w:tc>
        <w:tc>
          <w:tcPr>
            <w:tcW w:type="dxa" w:w="1368"/>
            <w:shd w:val="clear" w:color="auto" w:fill="D9E2F3"/>
          </w:tcPr>
          <w:p>
            <w:pPr>
              <w:spacing w:after="0"/>
            </w:pPr>
            <w:r>
              <w:rPr>
                <w:rFonts w:ascii="Carlito" w:hAnsi="Carlito"/>
                <w:b/>
                <w:sz w:val="19"/>
              </w:rPr>
              <w:t>Cost ($/g)</w:t>
            </w:r>
          </w:p>
        </w:tc>
        <w:tc>
          <w:tcPr>
            <w:tcW w:type="dxa" w:w="1512"/>
            <w:shd w:val="clear" w:color="auto" w:fill="D9E2F3"/>
          </w:tcPr>
          <w:p>
            <w:pPr>
              <w:spacing w:after="0"/>
            </w:pPr>
            <w:r>
              <w:rPr>
                <w:rFonts w:ascii="Carlito" w:hAnsi="Carlito"/>
                <w:b/>
                <w:sz w:val="19"/>
              </w:rPr>
              <w:t>Capacity (mg/g)</w:t>
            </w:r>
          </w:p>
        </w:tc>
        <w:tc>
          <w:tcPr>
            <w:tcW w:type="dxa" w:w="2160"/>
            <w:shd w:val="clear" w:color="auto" w:fill="D9E2F3"/>
          </w:tcPr>
          <w:p>
            <w:pPr>
              <w:spacing w:after="0"/>
            </w:pPr>
            <w:r>
              <w:rPr>
                <w:rFonts w:ascii="Carlito" w:hAnsi="Carlito"/>
                <w:b/>
                <w:sz w:val="19"/>
              </w:rPr>
              <w:t>Cost per mg removed ($/mg)</w:t>
            </w:r>
          </w:p>
        </w:tc>
        <w:tc>
          <w:tcPr>
            <w:tcW w:type="dxa" w:w="1512"/>
            <w:shd w:val="clear" w:color="auto" w:fill="D9E2F3"/>
          </w:tcPr>
          <w:p>
            <w:pPr>
              <w:spacing w:after="0"/>
            </w:pPr>
            <w:r>
              <w:rPr>
                <w:rFonts w:ascii="Carlito" w:hAnsi="Carlito"/>
                <w:b/>
                <w:sz w:val="19"/>
              </w:rPr>
              <w:t>Efficiency (mg/$)</w:t>
            </w:r>
          </w:p>
        </w:tc>
      </w:tr>
      <w:tr>
        <w:trPr>
          <w:cantSplit w:val="true"/>
        </w:trPr>
        <w:tc>
          <w:tcPr>
            <w:tcW w:type="dxa" w:w="2088"/>
          </w:tcPr>
          <w:p>
            <w:pPr>
              <w:spacing w:after="0"/>
            </w:pPr>
            <w:r>
              <w:rPr>
                <w:rFonts w:ascii="Carlito" w:hAnsi="Carlito"/>
                <w:sz w:val="19"/>
              </w:rPr>
              <w:t>Biochar</w:t>
            </w:r>
          </w:p>
        </w:tc>
        <w:tc>
          <w:tcPr>
            <w:tcW w:type="dxa" w:w="1368"/>
          </w:tcPr>
          <w:p>
            <w:pPr>
              <w:spacing w:after="0"/>
              <w:jc w:val="right"/>
            </w:pPr>
            <w:r>
              <w:rPr>
                <w:rFonts w:ascii="Carlito" w:hAnsi="Carlito"/>
                <w:sz w:val="19"/>
              </w:rPr>
              <w:t>10.00</w:t>
            </w:r>
          </w:p>
        </w:tc>
        <w:tc>
          <w:tcPr>
            <w:tcW w:type="dxa" w:w="1368"/>
          </w:tcPr>
          <w:p>
            <w:pPr>
              <w:spacing w:after="0"/>
              <w:jc w:val="right"/>
            </w:pPr>
            <w:r>
              <w:rPr>
                <w:rFonts w:ascii="Carlito" w:hAnsi="Carlito"/>
                <w:sz w:val="19"/>
              </w:rPr>
              <w:t>0.01000</w:t>
            </w:r>
          </w:p>
        </w:tc>
        <w:tc>
          <w:tcPr>
            <w:tcW w:type="dxa" w:w="1512"/>
          </w:tcPr>
          <w:p>
            <w:pPr>
              <w:spacing w:after="0"/>
              <w:jc w:val="right"/>
            </w:pPr>
            <w:r>
              <w:rPr>
                <w:rFonts w:ascii="Carlito" w:hAnsi="Carlito"/>
                <w:sz w:val="19"/>
              </w:rPr>
              <w:t>30</w:t>
            </w:r>
          </w:p>
        </w:tc>
        <w:tc>
          <w:tcPr>
            <w:tcW w:type="dxa" w:w="2160"/>
          </w:tcPr>
          <w:p>
            <w:pPr>
              <w:spacing w:after="0"/>
              <w:jc w:val="right"/>
            </w:pPr>
            <w:r>
              <w:rPr>
                <w:rFonts w:ascii="Carlito" w:hAnsi="Carlito"/>
                <w:sz w:val="19"/>
              </w:rPr>
              <w:t>0.000333</w:t>
            </w:r>
          </w:p>
        </w:tc>
        <w:tc>
          <w:tcPr>
            <w:tcW w:type="dxa" w:w="1512"/>
          </w:tcPr>
          <w:p>
            <w:pPr>
              <w:spacing w:after="0"/>
              <w:jc w:val="right"/>
            </w:pPr>
            <w:r>
              <w:rPr>
                <w:rFonts w:ascii="Carlito" w:hAnsi="Carlito"/>
                <w:sz w:val="19"/>
              </w:rPr>
              <w:t>3000.0</w:t>
            </w:r>
          </w:p>
        </w:tc>
      </w:tr>
      <w:tr>
        <w:trPr>
          <w:cantSplit w:val="true"/>
        </w:trPr>
        <w:tc>
          <w:tcPr>
            <w:tcW w:type="dxa" w:w="2088"/>
          </w:tcPr>
          <w:p>
            <w:pPr>
              <w:spacing w:after="0"/>
            </w:pPr>
            <w:r>
              <w:rPr>
                <w:rFonts w:ascii="Carlito" w:hAnsi="Carlito"/>
                <w:sz w:val="19"/>
              </w:rPr>
              <w:t>Chitosan</w:t>
            </w:r>
          </w:p>
        </w:tc>
        <w:tc>
          <w:tcPr>
            <w:tcW w:type="dxa" w:w="1368"/>
          </w:tcPr>
          <w:p>
            <w:pPr>
              <w:spacing w:after="0"/>
              <w:jc w:val="right"/>
            </w:pPr>
            <w:r>
              <w:rPr>
                <w:rFonts w:ascii="Carlito" w:hAnsi="Carlito"/>
                <w:sz w:val="19"/>
              </w:rPr>
              <w:t>200.00</w:t>
            </w:r>
          </w:p>
        </w:tc>
        <w:tc>
          <w:tcPr>
            <w:tcW w:type="dxa" w:w="1368"/>
          </w:tcPr>
          <w:p>
            <w:pPr>
              <w:spacing w:after="0"/>
              <w:jc w:val="right"/>
            </w:pPr>
            <w:r>
              <w:rPr>
                <w:rFonts w:ascii="Carlito" w:hAnsi="Carlito"/>
                <w:sz w:val="19"/>
              </w:rPr>
              <w:t>0.20000</w:t>
            </w:r>
          </w:p>
        </w:tc>
        <w:tc>
          <w:tcPr>
            <w:tcW w:type="dxa" w:w="1512"/>
          </w:tcPr>
          <w:p>
            <w:pPr>
              <w:spacing w:after="0"/>
              <w:jc w:val="right"/>
            </w:pPr>
            <w:r>
              <w:rPr>
                <w:rFonts w:ascii="Carlito" w:hAnsi="Carlito"/>
                <w:sz w:val="19"/>
              </w:rPr>
              <w:t>100</w:t>
            </w:r>
          </w:p>
        </w:tc>
        <w:tc>
          <w:tcPr>
            <w:tcW w:type="dxa" w:w="2160"/>
          </w:tcPr>
          <w:p>
            <w:pPr>
              <w:spacing w:after="0"/>
              <w:jc w:val="right"/>
            </w:pPr>
            <w:r>
              <w:rPr>
                <w:rFonts w:ascii="Carlito" w:hAnsi="Carlito"/>
                <w:sz w:val="19"/>
              </w:rPr>
              <w:t>0.002000</w:t>
            </w:r>
          </w:p>
        </w:tc>
        <w:tc>
          <w:tcPr>
            <w:tcW w:type="dxa" w:w="1512"/>
          </w:tcPr>
          <w:p>
            <w:pPr>
              <w:spacing w:after="0"/>
              <w:jc w:val="right"/>
            </w:pPr>
            <w:r>
              <w:rPr>
                <w:rFonts w:ascii="Carlito" w:hAnsi="Carlito"/>
                <w:sz w:val="19"/>
              </w:rPr>
              <w:t>500.0</w:t>
            </w:r>
          </w:p>
        </w:tc>
      </w:tr>
      <w:tr>
        <w:trPr>
          <w:cantSplit w:val="true"/>
        </w:trPr>
        <w:tc>
          <w:tcPr>
            <w:tcW w:type="dxa" w:w="2088"/>
          </w:tcPr>
          <w:p>
            <w:pPr>
              <w:spacing w:after="0"/>
            </w:pPr>
            <w:r>
              <w:rPr>
                <w:rFonts w:ascii="Carlito" w:hAnsi="Carlito"/>
                <w:sz w:val="19"/>
              </w:rPr>
              <w:t>Activated Carbon</w:t>
            </w:r>
          </w:p>
        </w:tc>
        <w:tc>
          <w:tcPr>
            <w:tcW w:type="dxa" w:w="1368"/>
          </w:tcPr>
          <w:p>
            <w:pPr>
              <w:spacing w:after="0"/>
              <w:jc w:val="right"/>
            </w:pPr>
            <w:r>
              <w:rPr>
                <w:rFonts w:ascii="Carlito" w:hAnsi="Carlito"/>
                <w:sz w:val="19"/>
              </w:rPr>
              <w:t>150.00</w:t>
            </w:r>
          </w:p>
        </w:tc>
        <w:tc>
          <w:tcPr>
            <w:tcW w:type="dxa" w:w="1368"/>
          </w:tcPr>
          <w:p>
            <w:pPr>
              <w:spacing w:after="0"/>
              <w:jc w:val="right"/>
            </w:pPr>
            <w:r>
              <w:rPr>
                <w:rFonts w:ascii="Carlito" w:hAnsi="Carlito"/>
                <w:sz w:val="19"/>
              </w:rPr>
              <w:t>0.15000</w:t>
            </w:r>
          </w:p>
        </w:tc>
        <w:tc>
          <w:tcPr>
            <w:tcW w:type="dxa" w:w="1512"/>
          </w:tcPr>
          <w:p>
            <w:pPr>
              <w:spacing w:after="0"/>
              <w:jc w:val="right"/>
            </w:pPr>
            <w:r>
              <w:rPr>
                <w:rFonts w:ascii="Carlito" w:hAnsi="Carlito"/>
                <w:sz w:val="19"/>
              </w:rPr>
              <w:t>60</w:t>
            </w:r>
          </w:p>
        </w:tc>
        <w:tc>
          <w:tcPr>
            <w:tcW w:type="dxa" w:w="2160"/>
          </w:tcPr>
          <w:p>
            <w:pPr>
              <w:spacing w:after="0"/>
              <w:jc w:val="right"/>
            </w:pPr>
            <w:r>
              <w:rPr>
                <w:rFonts w:ascii="Carlito" w:hAnsi="Carlito"/>
                <w:sz w:val="19"/>
              </w:rPr>
              <w:t>0.002500</w:t>
            </w:r>
          </w:p>
        </w:tc>
        <w:tc>
          <w:tcPr>
            <w:tcW w:type="dxa" w:w="1512"/>
          </w:tcPr>
          <w:p>
            <w:pPr>
              <w:spacing w:after="0"/>
              <w:jc w:val="right"/>
            </w:pPr>
            <w:r>
              <w:rPr>
                <w:rFonts w:ascii="Carlito" w:hAnsi="Carlito"/>
                <w:sz w:val="19"/>
              </w:rPr>
              <w:t>400.0</w:t>
            </w:r>
          </w:p>
        </w:tc>
      </w:tr>
      <w:tr>
        <w:trPr>
          <w:cantSplit w:val="true"/>
        </w:trPr>
        <w:tc>
          <w:tcPr>
            <w:tcW w:type="dxa" w:w="2088"/>
          </w:tcPr>
          <w:p>
            <w:pPr>
              <w:spacing w:after="0"/>
            </w:pPr>
            <w:r>
              <w:rPr>
                <w:rFonts w:ascii="Carlito" w:hAnsi="Carlito"/>
                <w:sz w:val="19"/>
              </w:rPr>
              <w:t>Iron Oxide</w:t>
            </w:r>
          </w:p>
        </w:tc>
        <w:tc>
          <w:tcPr>
            <w:tcW w:type="dxa" w:w="1368"/>
          </w:tcPr>
          <w:p>
            <w:pPr>
              <w:spacing w:after="0"/>
              <w:jc w:val="right"/>
            </w:pPr>
            <w:r>
              <w:rPr>
                <w:rFonts w:ascii="Carlito" w:hAnsi="Carlito"/>
                <w:sz w:val="19"/>
              </w:rPr>
              <w:t>80.00</w:t>
            </w:r>
          </w:p>
        </w:tc>
        <w:tc>
          <w:tcPr>
            <w:tcW w:type="dxa" w:w="1368"/>
          </w:tcPr>
          <w:p>
            <w:pPr>
              <w:spacing w:after="0"/>
              <w:jc w:val="right"/>
            </w:pPr>
            <w:r>
              <w:rPr>
                <w:rFonts w:ascii="Carlito" w:hAnsi="Carlito"/>
                <w:sz w:val="19"/>
              </w:rPr>
              <w:t>0.08000</w:t>
            </w:r>
          </w:p>
        </w:tc>
        <w:tc>
          <w:tcPr>
            <w:tcW w:type="dxa" w:w="1512"/>
          </w:tcPr>
          <w:p>
            <w:pPr>
              <w:spacing w:after="0"/>
              <w:jc w:val="right"/>
            </w:pPr>
            <w:r>
              <w:rPr>
                <w:rFonts w:ascii="Carlito" w:hAnsi="Carlito"/>
                <w:sz w:val="19"/>
              </w:rPr>
              <w:t>50</w:t>
            </w:r>
          </w:p>
        </w:tc>
        <w:tc>
          <w:tcPr>
            <w:tcW w:type="dxa" w:w="2160"/>
          </w:tcPr>
          <w:p>
            <w:pPr>
              <w:spacing w:after="0"/>
              <w:jc w:val="right"/>
            </w:pPr>
            <w:r>
              <w:rPr>
                <w:rFonts w:ascii="Carlito" w:hAnsi="Carlito"/>
                <w:sz w:val="19"/>
              </w:rPr>
              <w:t>0.001600</w:t>
            </w:r>
          </w:p>
        </w:tc>
        <w:tc>
          <w:tcPr>
            <w:tcW w:type="dxa" w:w="1512"/>
          </w:tcPr>
          <w:p>
            <w:pPr>
              <w:spacing w:after="0"/>
              <w:jc w:val="right"/>
            </w:pPr>
            <w:r>
              <w:rPr>
                <w:rFonts w:ascii="Carlito" w:hAnsi="Carlito"/>
                <w:sz w:val="19"/>
              </w:rPr>
              <w:t>625.0</w:t>
            </w:r>
          </w:p>
        </w:tc>
      </w:tr>
      <w:tr>
        <w:trPr>
          <w:cantSplit w:val="true"/>
        </w:trPr>
        <w:tc>
          <w:tcPr>
            <w:tcW w:type="dxa" w:w="2088"/>
          </w:tcPr>
          <w:p>
            <w:pPr>
              <w:spacing w:after="0"/>
            </w:pPr>
            <w:r>
              <w:rPr>
                <w:rFonts w:ascii="Carlito" w:hAnsi="Carlito"/>
                <w:sz w:val="19"/>
              </w:rPr>
              <w:t>CTSAgn</w:t>
            </w:r>
          </w:p>
        </w:tc>
        <w:tc>
          <w:tcPr>
            <w:tcW w:type="dxa" w:w="1368"/>
          </w:tcPr>
          <w:p>
            <w:pPr>
              <w:spacing w:after="0"/>
              <w:jc w:val="right"/>
            </w:pPr>
            <w:r>
              <w:rPr>
                <w:rFonts w:ascii="Carlito" w:hAnsi="Carlito"/>
                <w:sz w:val="19"/>
              </w:rPr>
              <w:t>45.42</w:t>
            </w:r>
          </w:p>
        </w:tc>
        <w:tc>
          <w:tcPr>
            <w:tcW w:type="dxa" w:w="1368"/>
          </w:tcPr>
          <w:p>
            <w:pPr>
              <w:spacing w:after="0"/>
              <w:jc w:val="right"/>
            </w:pPr>
            <w:r>
              <w:rPr>
                <w:rFonts w:ascii="Carlito" w:hAnsi="Carlito"/>
                <w:sz w:val="19"/>
              </w:rPr>
              <w:t>0.04542</w:t>
            </w:r>
          </w:p>
        </w:tc>
        <w:tc>
          <w:tcPr>
            <w:tcW w:type="dxa" w:w="1512"/>
          </w:tcPr>
          <w:p>
            <w:pPr>
              <w:spacing w:after="0"/>
              <w:jc w:val="right"/>
            </w:pPr>
            <w:r>
              <w:rPr>
                <w:rFonts w:ascii="Carlito" w:hAnsi="Carlito"/>
                <w:sz w:val="19"/>
              </w:rPr>
              <w:t>150</w:t>
            </w:r>
          </w:p>
        </w:tc>
        <w:tc>
          <w:tcPr>
            <w:tcW w:type="dxa" w:w="2160"/>
          </w:tcPr>
          <w:p>
            <w:pPr>
              <w:spacing w:after="0"/>
              <w:jc w:val="right"/>
            </w:pPr>
            <w:r>
              <w:rPr>
                <w:rFonts w:ascii="Carlito" w:hAnsi="Carlito"/>
                <w:sz w:val="19"/>
              </w:rPr>
              <w:t>0.000303</w:t>
            </w:r>
          </w:p>
        </w:tc>
        <w:tc>
          <w:tcPr>
            <w:tcW w:type="dxa" w:w="1512"/>
          </w:tcPr>
          <w:p>
            <w:pPr>
              <w:spacing w:after="0"/>
              <w:jc w:val="right"/>
            </w:pPr>
            <w:r>
              <w:rPr>
                <w:rFonts w:ascii="Carlito" w:hAnsi="Carlito"/>
                <w:sz w:val="19"/>
              </w:rPr>
              <w:t>3302.5</w:t>
            </w:r>
          </w:p>
        </w:tc>
      </w:tr>
    </w:tbl>
    <w:p>
      <w:pPr>
        <w:spacing w:after="100"/>
      </w:pPr>
      <w:r>
        <w:rPr>
          <w:rFonts w:ascii="Carlito" w:hAnsi="Carlito"/>
          <w:b w:val="0"/>
          <w:i w:val="0"/>
          <w:sz w:val="20"/>
        </w:rPr>
      </w:r>
    </w:p>
    <w:p>
      <w:pPr>
        <w:spacing w:after="100"/>
      </w:pPr>
      <w:r>
        <w:rPr>
          <w:rFonts w:ascii="Carlito" w:hAnsi="Carlito"/>
          <w:b/>
          <w:i w:val="0"/>
          <w:sz w:val="20"/>
        </w:rPr>
        <w:t>Notes</w:t>
      </w:r>
    </w:p>
    <w:p>
      <w:pPr>
        <w:spacing w:after="100"/>
      </w:pPr>
      <w:r>
        <w:rPr>
          <w:sz w:val="20"/>
        </w:rPr>
        <w:t>CTSAgn is costed on the five released pilot batches: $2,271 across 50 kg, or $45.42/kg at a measured capacity of 150 mg/g. Batches 6 and 7 are rejected off spec and excluded from this released-product benchmark. The recorded production expenditure includes raw materials, utilities, energy, labour, depreciation and overhead. The all-seven-batch average ($49.28/kg; 135.71 mg/g) mixes released and rejected product and is not the benchmark basis.</w:t>
      </w:r>
    </w:p>
    <w:p>
      <w:pPr>
        <w:spacing w:after="100"/>
      </w:pPr>
      <w:r>
        <w:rPr>
          <w:rFonts w:ascii="Carlito" w:hAnsi="Carlito"/>
          <w:b w:val="0"/>
          <w:i w:val="0"/>
          <w:sz w:val="20"/>
        </w:rPr>
        <w:t>Cost per mg removed is the cost per gram of adsorbent divided by its capacity in mg per gram. Efficiency is the reciprocal of that figure, the capacity in mg per gram divided by the cost per gram, and is read as milligrams of phosphate removed per dollar of adsorbent.</w:t>
      </w:r>
    </w:p>
    <w:p>
      <w:pPr>
        <w:pStyle w:val="Heading2"/>
        <w:spacing w:before="160" w:after="80"/>
      </w:pPr>
      <w:r>
        <w:rPr>
          <w:sz w:val="22"/>
        </w:rPr>
        <w:t>Downside: rejected-batch write-off</w:t>
      </w:r>
    </w:p>
    <w:p>
      <w:pPr>
        <w:spacing w:after="100"/>
      </w:pPr>
      <w:r>
        <w:rPr>
          <w:sz w:val="20"/>
        </w:rPr>
        <w:t>The two rejected batches cost $508 + $489 = $997. Charging all seven batches' $3,268 production expenditure to the 50 kg actually released gives $65.36/kg ($0.06536/g) rather than $45.42/kg. At the released-product capacity of 150 mg/g, the downside cost is $0.000436/mg and efficiency is 2,295.0 mg/$. Biochar remains 3,000 mg/$, so CTSAgn falls about 23.5% below it in this case. This allocates rejected-batch cost, not rejected-batch adsorption capacity, to saleable output.</w:t>
      </w:r>
    </w:p>
    <w:p>
      <w:pPr>
        <w:pStyle w:val="Heading2"/>
        <w:spacing w:before="160" w:after="80"/>
      </w:pPr>
      <w:r>
        <w:rPr>
          <w:sz w:val="22"/>
        </w:rPr>
        <w:t>Manufacturing-loss break-even</w:t>
      </w:r>
    </w:p>
    <w:p>
      <w:pPr>
        <w:spacing w:after="100"/>
      </w:pPr>
      <w:r>
        <w:rPr>
          <w:sz w:val="20"/>
        </w:rPr>
        <w:t>CTSAgn matches biochar's efficiency, its closest benchmark, at a cost of $50.00/kg ($0.05000/g) — the point where cost per mg removed and efficiency both equal biochar's ($0.000333/mg; 3,000 mg/$). That allows $229 of additional expenditure above the $2,271 released-product basis before the efficiency advantage is gone. The two rejected batches together cost $997, so the allowable burden covers only about 23% of the actual rejected-batch expenditure; the remaining $768 exceeds what CTSAgn can absorb and still match biochar. The efficiency advantage is fragile rather than robust: a materially smaller share of the recorded scrap cost than is already on the books would be enough to erase it, reinforcing the case for controlled validation before treating the cost advantage as secure.</w:t>
      </w:r>
    </w:p>
    <w:p>
      <w:pPr>
        <w:spacing w:after="100"/>
      </w:pPr>
      <w:r>
        <w:rPr>
          <w:rFonts w:ascii="Carlito" w:hAnsi="Carlito"/>
          <w:b/>
          <w:i w:val="0"/>
          <w:sz w:val="20"/>
        </w:rPr>
        <w:t>Adoption</w:t>
      </w:r>
    </w:p>
    <w:p>
      <w:pPr>
        <w:spacing w:after="100"/>
      </w:pPr>
      <w:r>
        <w:rPr>
          <w:rFonts w:ascii="Carlito" w:hAnsi="Carlito"/>
          <w:b w:val="0"/>
          <w:i w:val="0"/>
          <w:sz w:val="20"/>
        </w:rPr>
        <w:t>Biochar runs CTSAgn closest on efficiency at 3000 mg/$. CTSAgn lands above it at 3302.5 mg/$, about 10 per cent better, and removes phosphate at $0.000303 per mg against biochar's $0.000333. It also carries five times the capacity of biochar, so far less material is handled for the same duty.</w:t>
      </w:r>
    </w:p>
    <w:p>
      <w:pPr>
        <w:spacing w:after="100"/>
      </w:pPr>
      <w:r>
        <w:rPr>
          <w:sz w:val="20"/>
        </w:rPr>
        <w:t>On the released-product basis, CTSAgn is about 10% more efficient than biochar; under the waste-burden case, the comparison reverses and it is about 23.5% less efficient. Progress to controlled pilot validation rather than bank an unconditional cost advantage. The recovered composite reaches the defined 5% post-150 °C mass-loss threshold at about 195 °C under the nitrogen ramp, leaving roughly 20 °C above the benchmark's assumed 175 °C regeneration temperature. This is a screening threshold, not proof of intactness or of capacity retention through three regeneration cycles; verify process losses and cycle performance before an adoption commitment.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eastAsia="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eastAsia="Carlito"/>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eastAsia="Carlito"/>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rlito" w:hAnsi="Carlito" w:eastAsia="Carlito"/>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eastAsia="Carlito"/>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LibreOffice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Adsorbent Cost Comparison</dc:title>
  <dc:subject/>
  <dc:creator>Meridian Sorbent Technologies</dc:creator>
  <cp:keywords/>
  <dc:description/>
  <cp:lastModifiedBy>Meridian Sorbent Technologies</cp:lastModifiedBy>
  <cp:revision>1</cp:revision>
  <dcterms:created xsi:type="dcterms:W3CDTF">2026-09-22T18:26:19Z</dcterms:created>
  <dcterms:modified xsi:type="dcterms:W3CDTF">2026-09-22T18:26:19Z</dcterms:modified>
  <cp:category/>
</cp:coreProperties>
</file>