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Void Fraction Ratio Calculation — Campaign C-104</w:t>
      </w:r>
    </w:p>
    <w:p>
      <w:pPr>
        <w:pStyle w:val="Heading1"/>
      </w:pPr>
      <w:r>
        <w:t>Objective</w:t>
      </w:r>
    </w:p>
    <w:p>
      <w:r>
        <w:t>Determine the void fraction ε of Product 1 and Product 2 for Campaign C-104 using a droplet-to-particle shrinkage mass balance, and report the ratio ε₂/ε₁. The void fraction is the fraction of final particle volume that is empty after solvent removal.</w:t>
      </w:r>
    </w:p>
    <w:p>
      <w:pPr>
        <w:pStyle w:val="Heading1"/>
      </w:pPr>
      <w:r>
        <w:t>1. Data filtering</w:t>
      </w:r>
    </w:p>
    <w:p>
      <w:r>
        <w:t>Only RUN-mode records from dataset_1_production_history.csv (Campaign C-104) and PASS-status measurements from dataset_2_particle_size_qc.csv (Campaign C-104) are used. Records are matched by timestamp, keeping only timestamps where the Monitoring Port, Product 1, and Product 2 particle-size measurements all coincide with valid RUN-mode feed data. Across Campaign C-104 every RUN-mode feed record and every PASS particle-size record is identical, so all matched timestamps reduce to a single representative case.</w:t>
      </w:r>
    </w:p>
    <w:p>
      <w:pPr>
        <w:pStyle w:val="Heading1"/>
      </w:pPr>
      <w:r>
        <w:t>2. Choice of particle-size statistic</w:t>
      </w:r>
    </w:p>
    <w:p>
      <w:r>
        <w:t>dataset_2_particle_size_qc.csv reports d₁₀, d₅₀, d₉₀, span, and the volume mean diameter (D[4,3]) for every sample. Because this calculation is a mass (volume) balance between the droplet and the final particle, the diameter used must represent the volume-weighted population, not the count-median. d₅₀ is a number-based median and under-weights the larger droplets/particles that carry most of the volume, so the volume mean diameter is used consistently for the Monitoring Port, Product 1, and Product 2 diameters below.</w:t>
      </w:r>
    </w:p>
    <w:p>
      <w:pPr>
        <w:pStyle w:val="Heading1"/>
      </w:pPr>
      <w:r>
        <w:t>3. Void fraction model</w:t>
      </w:r>
    </w:p>
    <w:p>
      <w:r>
        <w:rPr>
          <w:i/>
        </w:rPr>
        <w:t>ε = 1 − x</w:t>
      </w:r>
      <w:r>
        <w:rPr>
          <w:vertAlign w:val="subscript"/>
        </w:rPr>
        <w:t>p</w:t>
      </w:r>
      <w:r>
        <w:t xml:space="preserve"> · (ρ</w:t>
      </w:r>
      <w:r>
        <w:rPr>
          <w:vertAlign w:val="subscript"/>
        </w:rPr>
        <w:t>d</w:t>
      </w:r>
      <w:r>
        <w:t xml:space="preserve"> / ρ</w:t>
      </w:r>
      <w:r>
        <w:rPr>
          <w:vertAlign w:val="subscript"/>
        </w:rPr>
        <w:t>p</w:t>
      </w:r>
      <w:r>
        <w:t>) · (D</w:t>
      </w:r>
      <w:r>
        <w:rPr>
          <w:vertAlign w:val="subscript"/>
        </w:rPr>
        <w:t>d</w:t>
      </w:r>
      <w:r>
        <w:t xml:space="preserve"> / D</w:t>
      </w:r>
      <w:r>
        <w:rPr>
          <w:vertAlign w:val="subscript"/>
        </w:rPr>
        <w:t>p</w:t>
      </w:r>
      <w:r>
        <w:t>)</w:t>
      </w:r>
      <w:r>
        <w:rPr>
          <w:vertAlign w:val="superscript"/>
        </w:rPr>
        <w:t>3</w:t>
      </w:r>
    </w:p>
    <w:p>
      <w:r>
        <w:t>where:</w:t>
      </w:r>
    </w:p>
    <w:p>
      <w:pPr>
        <w:pStyle w:val="ListBullet"/>
      </w:pPr>
      <w:r>
        <w:t>ε = particle void fraction</w:t>
      </w:r>
    </w:p>
    <w:p>
      <w:pPr>
        <w:pStyle w:val="ListBullet"/>
      </w:pPr>
      <w:r>
        <w:t>x</w:t>
      </w:r>
      <w:r>
        <w:rPr>
          <w:vertAlign w:val="subscript"/>
        </w:rPr>
        <w:t>p</w:t>
      </w:r>
      <w:r>
        <w:t xml:space="preserve"> polymer mass fraction in the dispersed phase</w:t>
      </w:r>
    </w:p>
    <w:p>
      <w:pPr>
        <w:pStyle w:val="ListBullet"/>
      </w:pPr>
      <w:r>
        <w:t>ρ</w:t>
      </w:r>
      <w:r>
        <w:rPr>
          <w:vertAlign w:val="subscript"/>
        </w:rPr>
        <w:t>d</w:t>
      </w:r>
      <w:r>
        <w:t xml:space="preserve"> dispersed-phase density (g/cm³)</w:t>
      </w:r>
    </w:p>
    <w:p>
      <w:pPr>
        <w:pStyle w:val="ListBullet"/>
      </w:pPr>
      <w:r>
        <w:t>ρ</w:t>
      </w:r>
      <w:r>
        <w:rPr>
          <w:vertAlign w:val="subscript"/>
        </w:rPr>
        <w:t>p</w:t>
      </w:r>
      <w:r>
        <w:t xml:space="preserve"> polymer density = 1.34 g/cm³</w:t>
      </w:r>
    </w:p>
    <w:p>
      <w:pPr>
        <w:pStyle w:val="ListBullet"/>
      </w:pPr>
      <w:r>
        <w:t>D</w:t>
      </w:r>
      <w:r>
        <w:rPr>
          <w:vertAlign w:val="subscript"/>
        </w:rPr>
        <w:t>d</w:t>
      </w:r>
      <w:r>
        <w:t xml:space="preserve"> Monitoring Port (droplet) volume mean diameter</w:t>
      </w:r>
    </w:p>
    <w:p>
      <w:pPr>
        <w:pStyle w:val="ListBullet"/>
      </w:pPr>
      <w:r>
        <w:t>D</w:t>
      </w:r>
      <w:r>
        <w:rPr>
          <w:vertAlign w:val="subscript"/>
        </w:rPr>
        <w:t>p</w:t>
      </w:r>
      <w:r>
        <w:t xml:space="preserve"> final particle volume mean diameter (Product 1 or Product 2)</w:t>
      </w:r>
    </w:p>
    <w:p>
      <w:pPr>
        <w:pStyle w:val="Heading1"/>
      </w:pPr>
      <w:r>
        <w:t>4. Polymer mass fraction</w:t>
      </w:r>
    </w:p>
    <w:p>
      <w:r>
        <w:t>x</w:t>
      </w:r>
      <w:r>
        <w:rPr>
          <w:vertAlign w:val="subscript"/>
        </w:rPr>
        <w:t>p</w:t>
      </w:r>
      <w:r>
        <w:t xml:space="preserve"> = Polymer A feed / (Polymer A feed + Solvent A feed) = 20.0 / (20.0 + 980.0) = 0.0200</w:t>
      </w:r>
    </w:p>
    <w:p>
      <w:pPr>
        <w:pStyle w:val="Heading1"/>
      </w:pPr>
      <w:r>
        <w:t>5. Dispersed-phase density (ideal volume additivity)</w:t>
      </w:r>
    </w:p>
    <w:p>
      <w:r>
        <w:t>1 / ρ</w:t>
      </w:r>
      <w:r>
        <w:rPr>
          <w:vertAlign w:val="subscript"/>
        </w:rPr>
        <w:t>d</w:t>
      </w:r>
      <w:r>
        <w:t xml:space="preserve"> = x</w:t>
      </w:r>
      <w:r>
        <w:rPr>
          <w:vertAlign w:val="subscript"/>
        </w:rPr>
        <w:t>p</w:t>
      </w:r>
      <w:r>
        <w:t xml:space="preserve"> / ρ</w:t>
      </w:r>
      <w:r>
        <w:rPr>
          <w:vertAlign w:val="subscript"/>
        </w:rPr>
        <w:t>p</w:t>
      </w:r>
      <w:r>
        <w:t xml:space="preserve"> + (1 − x</w:t>
      </w:r>
      <w:r>
        <w:rPr>
          <w:vertAlign w:val="subscript"/>
        </w:rPr>
        <w:t>p</w:t>
      </w:r>
      <w:r>
        <w:t>) / ρ</w:t>
      </w:r>
      <w:r>
        <w:rPr>
          <w:vertAlign w:val="subscript"/>
        </w:rPr>
        <w:t>s</w:t>
      </w:r>
      <w:r>
        <w:t>, with ρ</w:t>
      </w:r>
      <w:r>
        <w:rPr>
          <w:vertAlign w:val="subscript"/>
        </w:rPr>
        <w:t>p</w:t>
      </w:r>
      <w:r>
        <w:t xml:space="preserve"> = 1.34 g/cm³ and ρ</w:t>
      </w:r>
      <w:r>
        <w:rPr>
          <w:vertAlign w:val="subscript"/>
        </w:rPr>
        <w:t>s</w:t>
      </w:r>
      <w:r>
        <w:t xml:space="preserve"> = 1.33 g/cm³</w:t>
      </w:r>
    </w:p>
    <w:p>
      <w:r/>
      <w:r>
        <w:t>ρ</w:t>
      </w:r>
      <w:r>
        <w:rPr>
          <w:vertAlign w:val="subscript"/>
        </w:rPr>
        <w:t>d</w:t>
      </w:r>
      <w:r>
        <w:t xml:space="preserve"> = 1.3302 g/cm³</w:t>
      </w:r>
    </w:p>
    <w:p>
      <w:pPr>
        <w:pStyle w:val="Heading1"/>
      </w:pPr>
      <w:r>
        <w:t>6. Matched diameters (Campaign C-104)</w:t>
      </w:r>
    </w:p>
    <w:p>
      <w:r>
        <w:t>Monitoring Port volume mean diameter, Dₔ = 80.0 µm</w:t>
      </w:r>
    </w:p>
    <w:p>
      <w:r>
        <w:t>Product 1 volume mean diameter, Dₚ₁ = 30.0 µm</w:t>
      </w:r>
    </w:p>
    <w:p>
      <w:r>
        <w:t>Product 2 volume mean diameter, Dₚ₂ = 25.0 µm</w:t>
      </w:r>
    </w:p>
    <w:p>
      <w:pPr>
        <w:pStyle w:val="Heading1"/>
      </w:pPr>
      <w:r>
        <w:t>7. Void fraction results</w:t>
      </w:r>
    </w:p>
    <w:p>
      <w:r>
        <w:t>ε₁ = 1 − (0.0200)(1.3302/1.34)(80.0/30.0)³ = 0.6235</w:t>
      </w:r>
    </w:p>
    <w:p>
      <w:r>
        <w:t>ε₂ = 1 − (0.0200)(1.3302/1.34)(80.0/25.0)³ = 0.3494</w:t>
      </w:r>
    </w:p>
    <w:p>
      <w:r>
        <w:t>Void fraction ratio (Product 2 : Product 1) = ε₂ / ε₁ = 0.3494 / 0.6235 = 0.5604</w:t>
      </w:r>
    </w:p>
    <w:p>
      <w:pPr>
        <w:pStyle w:val="Heading1"/>
      </w:pPr>
      <w:r>
        <w:t>8. Consistency with solvent recovery data</w:t>
      </w:r>
    </w:p>
    <w:p>
      <w:r>
        <w:t>Product 2 has a lower mean void fraction than Product 1 (denser particles with less retained internal volume), yet dataset3_evaporator_recovery_qc_report.pdf reports a higher loss-on-drying for the Product 2 line (0.12 wt%) than for the Product 1 line (0.10 wt%). The two figures are therefore not consistent with each other: a lower void fraction would normally be expected to correspond to less retained solvent, not more, so Product 2's higher loss-on-drying cannot be explained by its particle void fraction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