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B26A00"/>
          <w:sz w:val="18"/>
        </w:rPr>
        <w:t>ACUMEN PoC  ·  STEP 5  ·  CALIBRATION REQUEST</w:t>
      </w:r>
    </w:p>
    <w:p>
      <w:pPr>
        <w:pStyle w:val="Title"/>
      </w:pPr>
      <w:r>
        <w:rPr>
          <w:color w:val="1A1A1A"/>
        </w:rPr>
        <w:t>TradingView POC — read 5 numbers, send them back</w:t>
      </w:r>
    </w:p>
    <w:p>
      <w:r>
        <w:rPr>
          <w:b w:val="0"/>
          <w:i w:val="0"/>
          <w:sz w:val="22"/>
        </w:rPr>
        <w:t xml:space="preserve">We're building a backtester that reproduces the </w:t>
      </w:r>
      <w:r>
        <w:rPr>
          <w:b/>
          <w:i w:val="0"/>
          <w:sz w:val="22"/>
        </w:rPr>
        <w:t>Fixed Range Volume Profile POC</w:t>
      </w:r>
      <w:r>
        <w:rPr>
          <w:b w:val="0"/>
          <w:i w:val="0"/>
          <w:sz w:val="22"/>
        </w:rPr>
        <w:t xml:space="preserve"> you read on TradingView — but our code can compute that POC three slightly different ways, and we need you to tell us which one matches your chart. For each of the five days below, draw one volume profile (</w:t>
      </w:r>
      <w:r>
        <w:rPr>
          <w:b/>
          <w:i w:val="0"/>
          <w:sz w:val="22"/>
        </w:rPr>
        <w:t>09:15–11:15, 24 rows</w:t>
      </w:r>
      <w:r>
        <w:rPr>
          <w:b w:val="0"/>
          <w:i w:val="0"/>
          <w:sz w:val="22"/>
        </w:rPr>
        <w:t xml:space="preserve">) and read the </w:t>
      </w:r>
      <w:r>
        <w:rPr>
          <w:b/>
          <w:i w:val="0"/>
          <w:sz w:val="22"/>
        </w:rPr>
        <w:t>POC price</w:t>
      </w:r>
      <w:r>
        <w:rPr>
          <w:b w:val="0"/>
          <w:i w:val="0"/>
          <w:sz w:val="22"/>
        </w:rPr>
        <w:t>. Send those five numbers back — that's the whole ask. About 15 minutes.</w:t>
      </w:r>
    </w:p>
    <w:tbl>
      <w:tblPr>
        <w:tblStyle w:val="TableGrid"/>
        <w:tblW w:type="auto" w:w="0"/>
        <w:tblLook w:firstColumn="1" w:firstRow="1" w:lastColumn="0" w:lastRow="0" w:noHBand="0" w:noVBand="1" w:val="04A0"/>
      </w:tblPr>
      <w:tblGrid>
        <w:gridCol w:w="8640"/>
      </w:tblGrid>
      <w:tr>
        <w:tc>
          <w:tcPr>
            <w:tcW w:type="dxa" w:w="8640"/>
            <w:shd w:val="clear" w:color="auto" w:fill="FBF1DD"/>
          </w:tcPr>
          <w:p>
            <w:r>
              <w:rPr>
                <w:b/>
                <w:i w:val="0"/>
                <w:color w:val="B26A00"/>
                <w:sz w:val="19"/>
              </w:rPr>
              <w:t>USE THESE EXACT SETTINGS EVERY TIME</w:t>
            </w:r>
          </w:p>
          <w:p>
            <w:pPr>
              <w:spacing w:before="40"/>
            </w:pPr>
            <w:r>
              <w:rPr>
                <w:rFonts w:ascii="Consolas" w:hAnsi="Consolas"/>
                <w:b/>
                <w:i w:val="0"/>
              </w:rPr>
              <w:t>Window = 09:15–11:15 IST     ·     Number of Rows = 24     ·     Timeframe = 1m     ·     Exchange = NSE</w:t>
            </w:r>
          </w:p>
        </w:tc>
      </w:tr>
    </w:tbl>
    <w:p>
      <w:pPr>
        <w:spacing w:after="120"/>
      </w:pPr>
    </w:p>
    <w:tbl>
      <w:tblPr>
        <w:tblStyle w:val="TableGrid"/>
        <w:tblW w:type="auto" w:w="0"/>
        <w:tblLook w:firstColumn="1" w:firstRow="1" w:lastColumn="0" w:lastRow="0" w:noHBand="0" w:noVBand="1" w:val="04A0"/>
      </w:tblPr>
      <w:tblGrid>
        <w:gridCol w:w="8640"/>
      </w:tblGrid>
      <w:tr>
        <w:tc>
          <w:tcPr>
            <w:tcW w:type="dxa" w:w="8640"/>
            <w:shd w:val="clear" w:color="auto" w:fill="FBF1DD"/>
          </w:tcPr>
          <w:p>
            <w:r>
              <w:rPr>
                <w:b/>
                <w:i w:val="0"/>
                <w:color w:val="B26A00"/>
                <w:sz w:val="19"/>
              </w:rPr>
              <w:t>WHAT WE NEED BACK FROM YOU</w:t>
            </w:r>
          </w:p>
          <w:p>
            <w:pPr>
              <w:spacing w:before="40"/>
            </w:pPr>
            <w:r>
              <w:rPr>
                <w:b w:val="0"/>
                <w:i w:val="0"/>
              </w:rPr>
              <w:t xml:space="preserve">Just the </w:t>
            </w:r>
            <w:r>
              <w:rPr>
                <w:b/>
                <w:i w:val="0"/>
              </w:rPr>
              <w:t>POC price (₹)</w:t>
            </w:r>
            <w:r>
              <w:rPr>
                <w:b w:val="0"/>
                <w:i w:val="0"/>
              </w:rPr>
              <w:t xml:space="preserve"> for each of the 5 stock-days — nothing else. You don't have to decide which method it is; we work that out from the number. A fill-in template is on the last page. Screenshots of each profile are welcome but optional.</w:t>
            </w:r>
          </w:p>
        </w:tc>
      </w:tr>
    </w:tbl>
    <w:p>
      <w:pPr>
        <w:spacing w:after="120"/>
      </w:pPr>
    </w:p>
    <w:p>
      <w:pPr>
        <w:pStyle w:val="Heading1"/>
      </w:pPr>
      <w:r>
        <w:rPr>
          <w:color w:val="1A1A1A"/>
        </w:rPr>
        <w:t>Your five targets (reference)</w:t>
      </w:r>
    </w:p>
    <w:p>
      <w:r>
        <w:rPr>
          <w:b w:val="0"/>
          <w:i w:val="0"/>
        </w:rPr>
        <w:t xml:space="preserve">These five days are the ones where the three methods </w:t>
      </w:r>
      <w:r>
        <w:rPr>
          <w:b/>
          <w:i w:val="0"/>
        </w:rPr>
        <w:t>disagree</w:t>
      </w:r>
      <w:r>
        <w:rPr>
          <w:b w:val="0"/>
          <w:i w:val="0"/>
        </w:rPr>
        <w:t>, so your read can actually tell them apart. The three price columns are our computed candidates — you only tell us the POC you see; we match it.</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403"/>
            <w:shd w:val="clear" w:color="auto" w:fill="1F2A37"/>
          </w:tcPr>
          <w:p>
            <w:r>
              <w:rPr>
                <w:b/>
                <w:i w:val="0"/>
                <w:color w:val="FFFFFF"/>
                <w:sz w:val="19"/>
              </w:rPr>
              <w:t>#</w:t>
            </w:r>
          </w:p>
        </w:tc>
        <w:tc>
          <w:tcPr>
            <w:tcW w:type="dxa" w:w="1656"/>
            <w:shd w:val="clear" w:color="auto" w:fill="1F2A37"/>
          </w:tcPr>
          <w:p>
            <w:r>
              <w:rPr>
                <w:b/>
                <w:i w:val="0"/>
                <w:color w:val="FFFFFF"/>
                <w:sz w:val="19"/>
              </w:rPr>
              <w:t>Symbol</w:t>
            </w:r>
          </w:p>
        </w:tc>
        <w:tc>
          <w:tcPr>
            <w:tcW w:type="dxa" w:w="1181"/>
            <w:shd w:val="clear" w:color="auto" w:fill="1F2A37"/>
          </w:tcPr>
          <w:p>
            <w:r>
              <w:rPr>
                <w:b/>
                <w:i w:val="0"/>
                <w:color w:val="FFFFFF"/>
                <w:sz w:val="19"/>
              </w:rPr>
              <w:t>Date</w:t>
            </w:r>
          </w:p>
        </w:tc>
        <w:tc>
          <w:tcPr>
            <w:tcW w:type="dxa" w:w="648"/>
            <w:shd w:val="clear" w:color="auto" w:fill="1F2A37"/>
          </w:tcPr>
          <w:p>
            <w:r>
              <w:rPr>
                <w:b/>
                <w:i w:val="0"/>
                <w:color w:val="FFFFFF"/>
                <w:sz w:val="19"/>
              </w:rPr>
              <w:t>Tick</w:t>
            </w:r>
          </w:p>
        </w:tc>
        <w:tc>
          <w:tcPr>
            <w:tcW w:type="dxa" w:w="1037"/>
            <w:shd w:val="clear" w:color="auto" w:fill="1F2A37"/>
          </w:tcPr>
          <w:p>
            <w:r>
              <w:rPr>
                <w:b/>
                <w:i w:val="0"/>
                <w:color w:val="B26A00"/>
                <w:sz w:val="19"/>
              </w:rPr>
              <w:t>POC close</w:t>
            </w:r>
          </w:p>
        </w:tc>
        <w:tc>
          <w:tcPr>
            <w:tcW w:type="dxa" w:w="1181"/>
            <w:shd w:val="clear" w:color="auto" w:fill="1F2A37"/>
          </w:tcPr>
          <w:p>
            <w:r>
              <w:rPr>
                <w:b/>
                <w:i w:val="0"/>
                <w:color w:val="0E7C6B"/>
                <w:sz w:val="19"/>
              </w:rPr>
              <w:t>POC uniform</w:t>
            </w:r>
          </w:p>
        </w:tc>
        <w:tc>
          <w:tcPr>
            <w:tcW w:type="dxa" w:w="1181"/>
            <w:shd w:val="clear" w:color="auto" w:fill="1F2A37"/>
          </w:tcPr>
          <w:p>
            <w:r>
              <w:rPr>
                <w:b/>
                <w:i w:val="0"/>
                <w:color w:val="6B4FBB"/>
                <w:sz w:val="19"/>
              </w:rPr>
              <w:t>POC prorata</w:t>
            </w:r>
          </w:p>
        </w:tc>
        <w:tc>
          <w:tcPr>
            <w:tcW w:type="dxa" w:w="2880"/>
            <w:shd w:val="clear" w:color="auto" w:fill="1F2A37"/>
          </w:tcPr>
          <w:p>
            <w:r>
              <w:rPr>
                <w:b/>
                <w:i w:val="0"/>
                <w:color w:val="FFFFFF"/>
                <w:sz w:val="19"/>
              </w:rPr>
              <w:t>What this day separates</w:t>
            </w:r>
          </w:p>
        </w:tc>
      </w:tr>
      <w:tr>
        <w:tc>
          <w:tcPr>
            <w:tcW w:type="dxa" w:w="403"/>
          </w:tcPr>
          <w:p>
            <w:r>
              <w:rPr>
                <w:rFonts w:ascii="Consolas" w:hAnsi="Consolas"/>
                <w:b w:val="0"/>
                <w:i w:val="0"/>
                <w:sz w:val="19"/>
              </w:rPr>
              <w:t>1</w:t>
            </w:r>
          </w:p>
        </w:tc>
        <w:tc>
          <w:tcPr>
            <w:tcW w:type="dxa" w:w="1656"/>
          </w:tcPr>
          <w:p>
            <w:r>
              <w:rPr>
                <w:b w:val="0"/>
                <w:i w:val="0"/>
                <w:sz w:val="19"/>
              </w:rPr>
              <w:t>NSE:TCS</w:t>
            </w:r>
          </w:p>
        </w:tc>
        <w:tc>
          <w:tcPr>
            <w:tcW w:type="dxa" w:w="1181"/>
          </w:tcPr>
          <w:p>
            <w:r>
              <w:rPr>
                <w:rFonts w:ascii="Consolas" w:hAnsi="Consolas"/>
                <w:b w:val="0"/>
                <w:i w:val="0"/>
                <w:sz w:val="19"/>
              </w:rPr>
              <w:t>2026-07-14</w:t>
            </w:r>
          </w:p>
        </w:tc>
        <w:tc>
          <w:tcPr>
            <w:tcW w:type="dxa" w:w="648"/>
          </w:tcPr>
          <w:p>
            <w:r>
              <w:rPr>
                <w:rFonts w:ascii="Consolas" w:hAnsi="Consolas"/>
                <w:b w:val="0"/>
                <w:i w:val="0"/>
                <w:sz w:val="19"/>
              </w:rPr>
              <w:t>0.10</w:t>
            </w:r>
          </w:p>
        </w:tc>
        <w:tc>
          <w:tcPr>
            <w:tcW w:type="dxa" w:w="1037"/>
          </w:tcPr>
          <w:p>
            <w:r>
              <w:rPr>
                <w:rFonts w:ascii="Consolas" w:hAnsi="Consolas"/>
                <w:b/>
                <w:i w:val="0"/>
                <w:color w:val="B26A00"/>
                <w:sz w:val="19"/>
              </w:rPr>
              <w:t>2211.55</w:t>
            </w:r>
          </w:p>
        </w:tc>
        <w:tc>
          <w:tcPr>
            <w:tcW w:type="dxa" w:w="1181"/>
          </w:tcPr>
          <w:p>
            <w:r>
              <w:rPr>
                <w:rFonts w:ascii="Consolas" w:hAnsi="Consolas"/>
                <w:b/>
                <w:i w:val="0"/>
                <w:color w:val="0E7C6B"/>
                <w:sz w:val="19"/>
              </w:rPr>
              <w:t>2203.15</w:t>
            </w:r>
          </w:p>
        </w:tc>
        <w:tc>
          <w:tcPr>
            <w:tcW w:type="dxa" w:w="1181"/>
          </w:tcPr>
          <w:p>
            <w:r>
              <w:rPr>
                <w:rFonts w:ascii="Consolas" w:hAnsi="Consolas"/>
                <w:b/>
                <w:i w:val="0"/>
                <w:color w:val="6B4FBB"/>
                <w:sz w:val="19"/>
              </w:rPr>
              <w:t>2205.25</w:t>
            </w:r>
          </w:p>
        </w:tc>
        <w:tc>
          <w:tcPr>
            <w:tcW w:type="dxa" w:w="2880"/>
          </w:tcPr>
          <w:p>
            <w:r>
              <w:rPr>
                <w:b w:val="0"/>
                <w:i w:val="0"/>
                <w:sz w:val="19"/>
              </w:rPr>
              <w:t>All three distinct — a clean fingerprint</w:t>
            </w:r>
          </w:p>
        </w:tc>
      </w:tr>
      <w:tr>
        <w:tc>
          <w:tcPr>
            <w:tcW w:type="dxa" w:w="403"/>
            <w:shd w:val="clear" w:color="auto" w:fill="F4F6F8"/>
          </w:tcPr>
          <w:p>
            <w:r>
              <w:rPr>
                <w:rFonts w:ascii="Consolas" w:hAnsi="Consolas"/>
                <w:b w:val="0"/>
                <w:i w:val="0"/>
                <w:sz w:val="19"/>
              </w:rPr>
              <w:t>2</w:t>
            </w:r>
          </w:p>
        </w:tc>
        <w:tc>
          <w:tcPr>
            <w:tcW w:type="dxa" w:w="1656"/>
            <w:shd w:val="clear" w:color="auto" w:fill="F4F6F8"/>
          </w:tcPr>
          <w:p>
            <w:r>
              <w:rPr>
                <w:b w:val="0"/>
                <w:i w:val="0"/>
                <w:sz w:val="19"/>
              </w:rPr>
              <w:t>NSE:RELIANCE</w:t>
            </w:r>
          </w:p>
        </w:tc>
        <w:tc>
          <w:tcPr>
            <w:tcW w:type="dxa" w:w="1181"/>
            <w:shd w:val="clear" w:color="auto" w:fill="F4F6F8"/>
          </w:tcPr>
          <w:p>
            <w:r>
              <w:rPr>
                <w:rFonts w:ascii="Consolas" w:hAnsi="Consolas"/>
                <w:b w:val="0"/>
                <w:i w:val="0"/>
                <w:sz w:val="19"/>
              </w:rPr>
              <w:t>2026-07-16</w:t>
            </w:r>
          </w:p>
        </w:tc>
        <w:tc>
          <w:tcPr>
            <w:tcW w:type="dxa" w:w="648"/>
            <w:shd w:val="clear" w:color="auto" w:fill="F4F6F8"/>
          </w:tcPr>
          <w:p>
            <w:r>
              <w:rPr>
                <w:rFonts w:ascii="Consolas" w:hAnsi="Consolas"/>
                <w:b w:val="0"/>
                <w:i w:val="0"/>
                <w:sz w:val="19"/>
              </w:rPr>
              <w:t>0.10</w:t>
            </w:r>
          </w:p>
        </w:tc>
        <w:tc>
          <w:tcPr>
            <w:tcW w:type="dxa" w:w="1037"/>
            <w:shd w:val="clear" w:color="auto" w:fill="F4F6F8"/>
          </w:tcPr>
          <w:p>
            <w:r>
              <w:rPr>
                <w:rFonts w:ascii="Consolas" w:hAnsi="Consolas"/>
                <w:b/>
                <w:i w:val="0"/>
                <w:color w:val="B26A00"/>
                <w:sz w:val="19"/>
              </w:rPr>
              <w:t>1305.40</w:t>
            </w:r>
          </w:p>
        </w:tc>
        <w:tc>
          <w:tcPr>
            <w:tcW w:type="dxa" w:w="1181"/>
            <w:shd w:val="clear" w:color="auto" w:fill="F4F6F8"/>
          </w:tcPr>
          <w:p>
            <w:r>
              <w:rPr>
                <w:rFonts w:ascii="Consolas" w:hAnsi="Consolas"/>
                <w:b/>
                <w:i w:val="0"/>
                <w:color w:val="0E7C6B"/>
                <w:sz w:val="19"/>
              </w:rPr>
              <w:t>1304.80</w:t>
            </w:r>
          </w:p>
        </w:tc>
        <w:tc>
          <w:tcPr>
            <w:tcW w:type="dxa" w:w="1181"/>
            <w:shd w:val="clear" w:color="auto" w:fill="F4F6F8"/>
          </w:tcPr>
          <w:p>
            <w:r>
              <w:rPr>
                <w:rFonts w:ascii="Consolas" w:hAnsi="Consolas"/>
                <w:b/>
                <w:i w:val="0"/>
                <w:color w:val="6B4FBB"/>
                <w:sz w:val="19"/>
              </w:rPr>
              <w:t>1303.60</w:t>
            </w:r>
          </w:p>
        </w:tc>
        <w:tc>
          <w:tcPr>
            <w:tcW w:type="dxa" w:w="2880"/>
            <w:shd w:val="clear" w:color="auto" w:fill="F4F6F8"/>
          </w:tcPr>
          <w:p>
            <w:r>
              <w:rPr>
                <w:b w:val="0"/>
                <w:i w:val="0"/>
                <w:sz w:val="19"/>
              </w:rPr>
              <w:t>All three distinct — confirms #1</w:t>
            </w:r>
          </w:p>
        </w:tc>
      </w:tr>
      <w:tr>
        <w:tc>
          <w:tcPr>
            <w:tcW w:type="dxa" w:w="403"/>
          </w:tcPr>
          <w:p>
            <w:r>
              <w:rPr>
                <w:rFonts w:ascii="Consolas" w:hAnsi="Consolas"/>
                <w:b w:val="0"/>
                <w:i w:val="0"/>
                <w:sz w:val="19"/>
              </w:rPr>
              <w:t>3</w:t>
            </w:r>
          </w:p>
        </w:tc>
        <w:tc>
          <w:tcPr>
            <w:tcW w:type="dxa" w:w="1656"/>
          </w:tcPr>
          <w:p>
            <w:r>
              <w:rPr>
                <w:b w:val="0"/>
                <w:i w:val="0"/>
                <w:sz w:val="19"/>
              </w:rPr>
              <w:t>NSE:HDFCBANK</w:t>
            </w:r>
          </w:p>
        </w:tc>
        <w:tc>
          <w:tcPr>
            <w:tcW w:type="dxa" w:w="1181"/>
          </w:tcPr>
          <w:p>
            <w:r>
              <w:rPr>
                <w:rFonts w:ascii="Consolas" w:hAnsi="Consolas"/>
                <w:b w:val="0"/>
                <w:i w:val="0"/>
                <w:sz w:val="19"/>
              </w:rPr>
              <w:t>2026-07-14</w:t>
            </w:r>
          </w:p>
        </w:tc>
        <w:tc>
          <w:tcPr>
            <w:tcW w:type="dxa" w:w="648"/>
          </w:tcPr>
          <w:p>
            <w:r>
              <w:rPr>
                <w:rFonts w:ascii="Consolas" w:hAnsi="Consolas"/>
                <w:b w:val="0"/>
                <w:i w:val="0"/>
                <w:sz w:val="19"/>
              </w:rPr>
              <w:t>0.05</w:t>
            </w:r>
          </w:p>
        </w:tc>
        <w:tc>
          <w:tcPr>
            <w:tcW w:type="dxa" w:w="1037"/>
          </w:tcPr>
          <w:p>
            <w:r>
              <w:rPr>
                <w:rFonts w:ascii="Consolas" w:hAnsi="Consolas"/>
                <w:b/>
                <w:i w:val="0"/>
                <w:color w:val="B26A00"/>
                <w:sz w:val="19"/>
              </w:rPr>
              <w:t>808.97</w:t>
            </w:r>
          </w:p>
        </w:tc>
        <w:tc>
          <w:tcPr>
            <w:tcW w:type="dxa" w:w="1181"/>
          </w:tcPr>
          <w:p>
            <w:r>
              <w:rPr>
                <w:rFonts w:ascii="Consolas" w:hAnsi="Consolas"/>
                <w:b/>
                <w:i w:val="0"/>
                <w:color w:val="0E7C6B"/>
                <w:sz w:val="19"/>
              </w:rPr>
              <w:t>815.27</w:t>
            </w:r>
          </w:p>
        </w:tc>
        <w:tc>
          <w:tcPr>
            <w:tcW w:type="dxa" w:w="1181"/>
          </w:tcPr>
          <w:p>
            <w:r>
              <w:rPr>
                <w:rFonts w:ascii="Consolas" w:hAnsi="Consolas"/>
                <w:b/>
                <w:i w:val="0"/>
                <w:color w:val="6B4FBB"/>
                <w:sz w:val="19"/>
              </w:rPr>
              <w:t>815.27</w:t>
            </w:r>
          </w:p>
        </w:tc>
        <w:tc>
          <w:tcPr>
            <w:tcW w:type="dxa" w:w="2880"/>
          </w:tcPr>
          <w:p>
            <w:r>
              <w:rPr>
                <w:b w:val="0"/>
                <w:i w:val="0"/>
                <w:sz w:val="19"/>
              </w:rPr>
              <w:t>close vs (uniform = prorata)</w:t>
            </w:r>
          </w:p>
        </w:tc>
      </w:tr>
      <w:tr>
        <w:tc>
          <w:tcPr>
            <w:tcW w:type="dxa" w:w="403"/>
            <w:shd w:val="clear" w:color="auto" w:fill="F4F6F8"/>
          </w:tcPr>
          <w:p>
            <w:r>
              <w:rPr>
                <w:rFonts w:ascii="Consolas" w:hAnsi="Consolas"/>
                <w:b w:val="0"/>
                <w:i w:val="0"/>
                <w:sz w:val="19"/>
              </w:rPr>
              <w:t>4</w:t>
            </w:r>
          </w:p>
        </w:tc>
        <w:tc>
          <w:tcPr>
            <w:tcW w:type="dxa" w:w="1656"/>
            <w:shd w:val="clear" w:color="auto" w:fill="F4F6F8"/>
          </w:tcPr>
          <w:p>
            <w:r>
              <w:rPr>
                <w:b w:val="0"/>
                <w:i w:val="0"/>
                <w:sz w:val="19"/>
              </w:rPr>
              <w:t>NSE:DIXON</w:t>
            </w:r>
          </w:p>
        </w:tc>
        <w:tc>
          <w:tcPr>
            <w:tcW w:type="dxa" w:w="1181"/>
            <w:shd w:val="clear" w:color="auto" w:fill="F4F6F8"/>
          </w:tcPr>
          <w:p>
            <w:r>
              <w:rPr>
                <w:rFonts w:ascii="Consolas" w:hAnsi="Consolas"/>
                <w:b w:val="0"/>
                <w:i w:val="0"/>
                <w:sz w:val="19"/>
              </w:rPr>
              <w:t>2026-07-16</w:t>
            </w:r>
          </w:p>
        </w:tc>
        <w:tc>
          <w:tcPr>
            <w:tcW w:type="dxa" w:w="648"/>
            <w:shd w:val="clear" w:color="auto" w:fill="F4F6F8"/>
          </w:tcPr>
          <w:p>
            <w:r>
              <w:rPr>
                <w:rFonts w:ascii="Consolas" w:hAnsi="Consolas"/>
                <w:b w:val="0"/>
                <w:i w:val="0"/>
                <w:sz w:val="19"/>
              </w:rPr>
              <w:t>1.00</w:t>
            </w:r>
          </w:p>
        </w:tc>
        <w:tc>
          <w:tcPr>
            <w:tcW w:type="dxa" w:w="1037"/>
            <w:shd w:val="clear" w:color="auto" w:fill="F4F6F8"/>
          </w:tcPr>
          <w:p>
            <w:r>
              <w:rPr>
                <w:rFonts w:ascii="Consolas" w:hAnsi="Consolas"/>
                <w:b/>
                <w:i w:val="0"/>
                <w:color w:val="B26A00"/>
                <w:sz w:val="19"/>
              </w:rPr>
              <w:t>14613.50</w:t>
            </w:r>
          </w:p>
        </w:tc>
        <w:tc>
          <w:tcPr>
            <w:tcW w:type="dxa" w:w="1181"/>
            <w:shd w:val="clear" w:color="auto" w:fill="F4F6F8"/>
          </w:tcPr>
          <w:p>
            <w:r>
              <w:rPr>
                <w:rFonts w:ascii="Consolas" w:hAnsi="Consolas"/>
                <w:b/>
                <w:i w:val="0"/>
                <w:color w:val="0E7C6B"/>
                <w:sz w:val="19"/>
              </w:rPr>
              <w:t>14263.50</w:t>
            </w:r>
          </w:p>
        </w:tc>
        <w:tc>
          <w:tcPr>
            <w:tcW w:type="dxa" w:w="1181"/>
            <w:shd w:val="clear" w:color="auto" w:fill="F4F6F8"/>
          </w:tcPr>
          <w:p>
            <w:r>
              <w:rPr>
                <w:rFonts w:ascii="Consolas" w:hAnsi="Consolas"/>
                <w:b/>
                <w:i w:val="0"/>
                <w:color w:val="6B4FBB"/>
                <w:sz w:val="19"/>
              </w:rPr>
              <w:t>14263.50</w:t>
            </w:r>
          </w:p>
        </w:tc>
        <w:tc>
          <w:tcPr>
            <w:tcW w:type="dxa" w:w="2880"/>
            <w:shd w:val="clear" w:color="auto" w:fill="F4F6F8"/>
          </w:tcPr>
          <w:p>
            <w:r>
              <w:rPr>
                <w:b w:val="0"/>
                <w:i w:val="0"/>
                <w:sz w:val="19"/>
              </w:rPr>
              <w:t>close vs spread — EASIEST, ₹350 gap</w:t>
            </w:r>
          </w:p>
        </w:tc>
      </w:tr>
      <w:tr>
        <w:tc>
          <w:tcPr>
            <w:tcW w:type="dxa" w:w="403"/>
          </w:tcPr>
          <w:p>
            <w:r>
              <w:rPr>
                <w:rFonts w:ascii="Consolas" w:hAnsi="Consolas"/>
                <w:b w:val="0"/>
                <w:i w:val="0"/>
                <w:sz w:val="19"/>
              </w:rPr>
              <w:t>5</w:t>
            </w:r>
          </w:p>
        </w:tc>
        <w:tc>
          <w:tcPr>
            <w:tcW w:type="dxa" w:w="1656"/>
          </w:tcPr>
          <w:p>
            <w:r>
              <w:rPr>
                <w:b w:val="0"/>
                <w:i w:val="0"/>
                <w:sz w:val="19"/>
              </w:rPr>
              <w:t>NSE:MANAPPURAM</w:t>
            </w:r>
          </w:p>
        </w:tc>
        <w:tc>
          <w:tcPr>
            <w:tcW w:type="dxa" w:w="1181"/>
          </w:tcPr>
          <w:p>
            <w:r>
              <w:rPr>
                <w:rFonts w:ascii="Consolas" w:hAnsi="Consolas"/>
                <w:b w:val="0"/>
                <w:i w:val="0"/>
                <w:sz w:val="19"/>
              </w:rPr>
              <w:t>2026-07-15</w:t>
            </w:r>
          </w:p>
        </w:tc>
        <w:tc>
          <w:tcPr>
            <w:tcW w:type="dxa" w:w="648"/>
          </w:tcPr>
          <w:p>
            <w:r>
              <w:rPr>
                <w:rFonts w:ascii="Consolas" w:hAnsi="Consolas"/>
                <w:b w:val="0"/>
                <w:i w:val="0"/>
                <w:sz w:val="19"/>
              </w:rPr>
              <w:t>0.05</w:t>
            </w:r>
          </w:p>
        </w:tc>
        <w:tc>
          <w:tcPr>
            <w:tcW w:type="dxa" w:w="1037"/>
          </w:tcPr>
          <w:p>
            <w:r>
              <w:rPr>
                <w:rFonts w:ascii="Consolas" w:hAnsi="Consolas"/>
                <w:b/>
                <w:i w:val="0"/>
                <w:color w:val="B26A00"/>
                <w:sz w:val="19"/>
              </w:rPr>
              <w:t>329.75</w:t>
            </w:r>
          </w:p>
        </w:tc>
        <w:tc>
          <w:tcPr>
            <w:tcW w:type="dxa" w:w="1181"/>
          </w:tcPr>
          <w:p>
            <w:r>
              <w:rPr>
                <w:rFonts w:ascii="Consolas" w:hAnsi="Consolas"/>
                <w:b/>
                <w:i w:val="0"/>
                <w:color w:val="0E7C6B"/>
                <w:sz w:val="19"/>
              </w:rPr>
              <w:t>333.65</w:t>
            </w:r>
          </w:p>
        </w:tc>
        <w:tc>
          <w:tcPr>
            <w:tcW w:type="dxa" w:w="1181"/>
          </w:tcPr>
          <w:p>
            <w:r>
              <w:rPr>
                <w:rFonts w:ascii="Consolas" w:hAnsi="Consolas"/>
                <w:b/>
                <w:i w:val="0"/>
                <w:color w:val="6B4FBB"/>
                <w:sz w:val="19"/>
              </w:rPr>
              <w:t>329.75</w:t>
            </w:r>
          </w:p>
        </w:tc>
        <w:tc>
          <w:tcPr>
            <w:tcW w:type="dxa" w:w="2880"/>
          </w:tcPr>
          <w:p>
            <w:r>
              <w:rPr>
                <w:b w:val="0"/>
                <w:i w:val="0"/>
                <w:sz w:val="19"/>
              </w:rPr>
              <w:t>uniform vs (close = prorata)</w:t>
            </w:r>
          </w:p>
        </w:tc>
      </w:tr>
    </w:tbl>
    <w:p>
      <w:pPr>
        <w:spacing w:after="120"/>
      </w:pPr>
    </w:p>
    <w:p>
      <w:r>
        <w:rPr>
          <w:b/>
          <w:i w:val="0"/>
          <w:sz w:val="18"/>
        </w:rPr>
        <w:t xml:space="preserve">Legend:  </w:t>
      </w:r>
      <w:r>
        <w:rPr>
          <w:b/>
          <w:i w:val="0"/>
          <w:color w:val="B26A00"/>
          <w:sz w:val="18"/>
        </w:rPr>
        <w:t>close</w:t>
      </w:r>
      <w:r>
        <w:rPr>
          <w:b w:val="0"/>
          <w:i w:val="0"/>
          <w:color w:val="555F6D"/>
          <w:sz w:val="18"/>
        </w:rPr>
        <w:t xml:space="preserve"> (dump volume at the close)   </w:t>
      </w:r>
      <w:r>
        <w:rPr>
          <w:b/>
          <w:i w:val="0"/>
          <w:color w:val="0E7C6B"/>
          <w:sz w:val="18"/>
        </w:rPr>
        <w:t>uniform</w:t>
      </w:r>
      <w:r>
        <w:rPr>
          <w:b w:val="0"/>
          <w:i w:val="0"/>
          <w:color w:val="555F6D"/>
          <w:sz w:val="18"/>
        </w:rPr>
        <w:t xml:space="preserve"> (spread evenly across the bar)   </w:t>
      </w:r>
      <w:r>
        <w:rPr>
          <w:b/>
          <w:i w:val="0"/>
          <w:color w:val="6B4FBB"/>
          <w:sz w:val="18"/>
        </w:rPr>
        <w:t>prorata</w:t>
      </w:r>
      <w:r>
        <w:rPr>
          <w:b w:val="0"/>
          <w:i w:val="0"/>
          <w:color w:val="555F6D"/>
          <w:sz w:val="18"/>
        </w:rPr>
        <w:t xml:space="preserve"> (spread by range overlap)</w:t>
      </w:r>
    </w:p>
    <w:p>
      <w:pPr>
        <w:pStyle w:val="Heading1"/>
      </w:pPr>
      <w:r>
        <w:rPr>
          <w:color w:val="1A1A1A"/>
        </w:rPr>
        <w:t>Part 1 — One-time setup</w:t>
      </w:r>
    </w:p>
    <w:p>
      <w:pPr>
        <w:spacing w:before="160"/>
      </w:pPr>
      <w:r>
        <w:rPr>
          <w:b/>
          <w:i w:val="0"/>
          <w:color w:val="B26A00"/>
          <w:sz w:val="21"/>
        </w:rPr>
        <w:t xml:space="preserve">Step 1  </w:t>
      </w:r>
      <w:r>
        <w:rPr>
          <w:b/>
          <w:i w:val="0"/>
          <w:sz w:val="22"/>
        </w:rPr>
        <w:t>— Open TradingView and sign in</w:t>
      </w:r>
    </w:p>
    <w:p>
      <w:r>
        <w:rPr>
          <w:b w:val="0"/>
          <w:i w:val="0"/>
        </w:rPr>
        <w:t xml:space="preserve">Log in at tradingview.com with your (premium) account. Open the chart workspace: </w:t>
      </w:r>
      <w:r>
        <w:rPr>
          <w:b/>
          <w:i w:val="0"/>
        </w:rPr>
        <w:t>Products ▸ Supercharts</w:t>
      </w:r>
      <w:r>
        <w:rPr>
          <w:b w:val="0"/>
          <w:i w:val="0"/>
        </w:rPr>
        <w:t xml:space="preserve"> in the top menu, or the </w:t>
      </w:r>
      <w:r>
        <w:rPr>
          <w:b/>
          <w:i w:val="0"/>
        </w:rPr>
        <w:t>Chart</w:t>
      </w:r>
      <w:r>
        <w:rPr>
          <w:b w:val="0"/>
          <w:i w:val="0"/>
        </w:rPr>
        <w:t xml:space="preserve"> button on the homepage.</w:t>
      </w:r>
    </w:p>
    <w:p>
      <w:pPr>
        <w:spacing w:before="160"/>
      </w:pPr>
      <w:r>
        <w:rPr>
          <w:b/>
          <w:i w:val="0"/>
          <w:color w:val="B26A00"/>
          <w:sz w:val="21"/>
        </w:rPr>
        <w:t xml:space="preserve">Step 2  </w:t>
      </w:r>
      <w:r>
        <w:rPr>
          <w:b/>
          <w:i w:val="0"/>
          <w:sz w:val="22"/>
        </w:rPr>
        <w:t>— The four controls you'll reuse</w:t>
      </w:r>
    </w:p>
    <w:p>
      <w:pPr>
        <w:pStyle w:val="ListBullet"/>
        <w:spacing w:after="60"/>
      </w:pPr>
      <w:r>
        <w:rPr>
          <w:b/>
          <w:i w:val="0"/>
        </w:rPr>
        <w:t>Symbol box</w:t>
      </w:r>
      <w:r>
        <w:rPr>
          <w:b w:val="0"/>
          <w:i w:val="0"/>
        </w:rPr>
        <w:t xml:space="preserve"> — top-left; shows the current ticker. Click to change stock.</w:t>
      </w:r>
    </w:p>
    <w:p>
      <w:pPr>
        <w:pStyle w:val="ListBullet"/>
        <w:spacing w:after="60"/>
      </w:pPr>
      <w:r>
        <w:rPr>
          <w:b/>
          <w:i w:val="0"/>
        </w:rPr>
        <w:t>Interval box</w:t>
      </w:r>
      <w:r>
        <w:rPr>
          <w:b w:val="0"/>
          <w:i w:val="0"/>
        </w:rPr>
        <w:t xml:space="preserve"> — just right of it (shows e.g. </w:t>
      </w:r>
      <w:r>
        <w:rPr>
          <w:rFonts w:ascii="Consolas" w:hAnsi="Consolas"/>
          <w:b w:val="0"/>
          <w:i w:val="0"/>
        </w:rPr>
        <w:t>1D</w:t>
      </w:r>
      <w:r>
        <w:rPr>
          <w:b w:val="0"/>
          <w:i w:val="0"/>
        </w:rPr>
        <w:t>). Sets the candle timeframe.</w:t>
      </w:r>
    </w:p>
    <w:p>
      <w:pPr>
        <w:pStyle w:val="ListBullet"/>
        <w:spacing w:after="60"/>
      </w:pPr>
      <w:r>
        <w:rPr>
          <w:b/>
          <w:i w:val="0"/>
        </w:rPr>
        <w:t>Indicators button</w:t>
      </w:r>
      <w:r>
        <w:rPr>
          <w:b w:val="0"/>
          <w:i w:val="0"/>
        </w:rPr>
        <w:t xml:space="preserve"> — along the top toolbar (</w:t>
      </w:r>
      <w:r>
        <w:rPr>
          <w:rFonts w:ascii="Consolas" w:hAnsi="Consolas"/>
          <w:b w:val="0"/>
          <w:i w:val="0"/>
        </w:rPr>
        <w:t>fx</w:t>
      </w:r>
      <w:r>
        <w:rPr>
          <w:b w:val="0"/>
          <w:i w:val="0"/>
        </w:rPr>
        <w:t xml:space="preserve"> / the word “Indicators”). The volume profile lives here.</w:t>
      </w:r>
    </w:p>
    <w:p>
      <w:pPr>
        <w:pStyle w:val="ListBullet"/>
        <w:spacing w:after="60"/>
      </w:pPr>
      <w:r>
        <w:rPr>
          <w:b/>
          <w:i w:val="0"/>
        </w:rPr>
        <w:t>Drawing toolbar</w:t>
      </w:r>
      <w:r>
        <w:rPr>
          <w:b w:val="0"/>
          <w:i w:val="0"/>
        </w:rPr>
        <w:t xml:space="preserve"> — the vertical strip of icons down the left edge.</w:t>
      </w:r>
    </w:p>
    <w:p>
      <w:r>
        <w:rPr>
          <w:b w:val="0"/>
          <w:i w:val="0"/>
        </w:rPr>
        <w:t xml:space="preserve">Tip: to change any indicator's settings, </w:t>
      </w:r>
      <w:r>
        <w:rPr>
          <w:b/>
          <w:i w:val="0"/>
        </w:rPr>
        <w:t>double-click it</w:t>
      </w:r>
      <w:r>
        <w:rPr>
          <w:b w:val="0"/>
          <w:i w:val="0"/>
        </w:rPr>
        <w:t xml:space="preserve"> on the chart.</w:t>
      </w:r>
    </w:p>
    <w:p>
      <w:pPr>
        <w:pStyle w:val="Heading1"/>
      </w:pPr>
      <w:r>
        <w:rPr>
          <w:color w:val="1A1A1A"/>
        </w:rPr>
        <w:t>Part 2 — The loop (repeat for each of the 5 days)</w:t>
      </w:r>
    </w:p>
    <w:p>
      <w:r>
        <w:rPr>
          <w:b w:val="0"/>
          <w:i w:val="0"/>
        </w:rPr>
        <w:t>Steps 3–7 walk through row #1 (</w:t>
      </w:r>
      <w:r>
        <w:rPr>
          <w:rFonts w:ascii="Consolas" w:hAnsi="Consolas"/>
          <w:b w:val="0"/>
          <w:i w:val="0"/>
        </w:rPr>
        <w:t>NSE:TCS, 2026-07-14</w:t>
      </w:r>
      <w:r>
        <w:rPr>
          <w:b w:val="0"/>
          <w:i w:val="0"/>
        </w:rPr>
        <w:t>). Do them once, then repeat the same clicks for rows 2–5, swapping the symbol and date.</w:t>
      </w:r>
    </w:p>
    <w:p>
      <w:pPr>
        <w:spacing w:before="160"/>
      </w:pPr>
      <w:r>
        <w:rPr>
          <w:b/>
          <w:i w:val="0"/>
          <w:color w:val="B26A00"/>
          <w:sz w:val="21"/>
        </w:rPr>
        <w:t xml:space="preserve">Step 3  </w:t>
      </w:r>
      <w:r>
        <w:rPr>
          <w:b/>
          <w:i w:val="0"/>
          <w:sz w:val="22"/>
        </w:rPr>
        <w:t>— Load the stock</w:t>
      </w:r>
    </w:p>
    <w:p>
      <w:r>
        <w:rPr>
          <w:b w:val="0"/>
          <w:i w:val="0"/>
        </w:rPr>
        <w:t xml:space="preserve">Click the symbol box, type </w:t>
      </w:r>
      <w:r>
        <w:rPr>
          <w:rFonts w:ascii="Consolas" w:hAnsi="Consolas"/>
          <w:b w:val="0"/>
          <w:i w:val="0"/>
        </w:rPr>
        <w:t>TCS</w:t>
      </w:r>
      <w:r>
        <w:rPr>
          <w:b w:val="0"/>
          <w:i w:val="0"/>
        </w:rPr>
        <w:t xml:space="preserve">, and in the dropdown pick the row whose exchange is </w:t>
      </w:r>
      <w:r>
        <w:rPr>
          <w:b/>
          <w:i w:val="0"/>
        </w:rPr>
        <w:t>NSE</w:t>
      </w:r>
      <w:r>
        <w:rPr>
          <w:b w:val="0"/>
          <w:i w:val="0"/>
        </w:rPr>
        <w:t xml:space="preserve"> (reads NSE:TCS “Tata Consultancy Services”). </w:t>
      </w:r>
      <w:r>
        <w:rPr>
          <w:b/>
          <w:i w:val="0"/>
        </w:rPr>
        <w:t>Always pick the NSE version</w:t>
      </w:r>
      <w:r>
        <w:rPr>
          <w:b w:val="0"/>
          <w:i w:val="0"/>
        </w:rPr>
        <w:t xml:space="preserve"> — never BSE or a foreign listing.</w:t>
      </w:r>
    </w:p>
    <w:p>
      <w:pPr>
        <w:spacing w:before="160"/>
      </w:pPr>
      <w:r>
        <w:rPr>
          <w:b/>
          <w:i w:val="0"/>
          <w:color w:val="B26A00"/>
          <w:sz w:val="21"/>
        </w:rPr>
        <w:t xml:space="preserve">Step 4  </w:t>
      </w:r>
      <w:r>
        <w:rPr>
          <w:b/>
          <w:i w:val="0"/>
          <w:sz w:val="22"/>
        </w:rPr>
        <w:t>— Set the timeframe to 1 minute</w:t>
      </w:r>
    </w:p>
    <w:p>
      <w:r>
        <w:rPr>
          <w:b w:val="0"/>
          <w:i w:val="0"/>
        </w:rPr>
        <w:t xml:space="preserve">Click the interval box, type </w:t>
      </w:r>
      <w:r>
        <w:rPr>
          <w:rFonts w:ascii="Consolas" w:hAnsi="Consolas"/>
          <w:b w:val="0"/>
          <w:i w:val="0"/>
        </w:rPr>
        <w:t>1</w:t>
      </w:r>
      <w:r>
        <w:rPr>
          <w:b w:val="0"/>
          <w:i w:val="0"/>
        </w:rPr>
        <w:t xml:space="preserve">, press Enter (or choose “1 minute”). </w:t>
      </w:r>
      <w:r>
        <w:rPr>
          <w:b/>
          <w:i w:val="0"/>
        </w:rPr>
        <w:t xml:space="preserve">Why 1m: </w:t>
      </w:r>
      <w:r>
        <w:rPr>
          <w:b w:val="0"/>
          <w:i w:val="0"/>
        </w:rPr>
        <w:t>it matches the 1-minute candles our code used, giving an apples-to-apples comparison. A 15-min chart also works — just tell us which you used.</w:t>
      </w:r>
    </w:p>
    <w:p>
      <w:pPr>
        <w:spacing w:before="160"/>
      </w:pPr>
      <w:r>
        <w:rPr>
          <w:b/>
          <w:i w:val="0"/>
          <w:color w:val="B26A00"/>
          <w:sz w:val="21"/>
        </w:rPr>
        <w:t xml:space="preserve">Step 5  </w:t>
      </w:r>
      <w:r>
        <w:rPr>
          <w:b/>
          <w:i w:val="0"/>
          <w:sz w:val="22"/>
        </w:rPr>
        <w:t>— Navigate to the morning of the date</w:t>
      </w:r>
    </w:p>
    <w:p>
      <w:r>
        <w:rPr>
          <w:b w:val="0"/>
          <w:i w:val="0"/>
        </w:rPr>
        <w:t xml:space="preserve">Get </w:t>
      </w:r>
      <w:r>
        <w:rPr>
          <w:b/>
          <w:i w:val="0"/>
        </w:rPr>
        <w:t>09:15 to 11:15 on 14 Jul 2026</w:t>
      </w:r>
      <w:r>
        <w:rPr>
          <w:b w:val="0"/>
          <w:i w:val="0"/>
        </w:rPr>
        <w:t xml:space="preserve"> onto the screen:</w:t>
      </w:r>
    </w:p>
    <w:p>
      <w:pPr>
        <w:pStyle w:val="ListBullet"/>
        <w:spacing w:after="60"/>
      </w:pPr>
      <w:r>
        <w:rPr>
          <w:b/>
          <w:i w:val="0"/>
        </w:rPr>
        <w:t xml:space="preserve">Foolproof: </w:t>
      </w:r>
      <w:r>
        <w:rPr>
          <w:b w:val="0"/>
          <w:i w:val="0"/>
        </w:rPr>
        <w:t>click-and-drag the chart to the left to scroll back in time; watch the date labels on the bottom axis until you reach that morning.</w:t>
      </w:r>
    </w:p>
    <w:p>
      <w:pPr>
        <w:pStyle w:val="ListBullet"/>
        <w:spacing w:after="60"/>
      </w:pPr>
      <w:r>
        <w:rPr>
          <w:b/>
          <w:i w:val="0"/>
        </w:rPr>
        <w:t xml:space="preserve">Faster: </w:t>
      </w:r>
      <w:r>
        <w:rPr>
          <w:b w:val="0"/>
          <w:i w:val="0"/>
        </w:rPr>
        <w:t>right-click the time axis (dates along the bottom) ▸ “Go to…” ▸ type the date (wording varies by version).</w:t>
      </w:r>
    </w:p>
    <w:p>
      <w:pPr>
        <w:spacing w:before="160"/>
      </w:pPr>
      <w:r>
        <w:rPr>
          <w:b/>
          <w:i w:val="0"/>
          <w:color w:val="B26A00"/>
          <w:sz w:val="21"/>
        </w:rPr>
        <w:t xml:space="preserve">Step 6  </w:t>
      </w:r>
      <w:r>
        <w:rPr>
          <w:b/>
          <w:i w:val="0"/>
          <w:sz w:val="22"/>
        </w:rPr>
        <w:t>— Draw the Fixed Range Volume Profile</w:t>
      </w:r>
    </w:p>
    <w:p>
      <w:r>
        <w:rPr>
          <w:b w:val="0"/>
          <w:i w:val="0"/>
        </w:rPr>
        <w:t xml:space="preserve">Click </w:t>
      </w:r>
      <w:r>
        <w:rPr>
          <w:b/>
          <w:i w:val="0"/>
        </w:rPr>
        <w:t>Indicators</w:t>
      </w:r>
      <w:r>
        <w:rPr>
          <w:b w:val="0"/>
          <w:i w:val="0"/>
        </w:rPr>
        <w:t xml:space="preserve">, search </w:t>
      </w:r>
      <w:r>
        <w:rPr>
          <w:rFonts w:ascii="Consolas" w:hAnsi="Consolas"/>
          <w:b w:val="0"/>
          <w:i w:val="0"/>
        </w:rPr>
        <w:t>Fixed Range Volume Profile</w:t>
      </w:r>
      <w:r>
        <w:rPr>
          <w:b w:val="0"/>
          <w:i w:val="0"/>
        </w:rPr>
        <w:t>, and click it. TradingView then asks you to pick a range:</w:t>
      </w:r>
    </w:p>
    <w:p>
      <w:pPr>
        <w:pStyle w:val="ListBullet"/>
        <w:spacing w:after="60"/>
      </w:pPr>
      <w:r>
        <w:rPr>
          <w:b w:val="0"/>
          <w:i w:val="0"/>
        </w:rPr>
        <w:t xml:space="preserve">Click once on the </w:t>
      </w:r>
      <w:r>
        <w:rPr>
          <w:b/>
          <w:i w:val="0"/>
        </w:rPr>
        <w:t>09:15</w:t>
      </w:r>
      <w:r>
        <w:rPr>
          <w:b w:val="0"/>
          <w:i w:val="0"/>
        </w:rPr>
        <w:t xml:space="preserve"> candle (first of the day).</w:t>
      </w:r>
    </w:p>
    <w:p>
      <w:pPr>
        <w:pStyle w:val="ListBullet"/>
        <w:spacing w:after="60"/>
      </w:pPr>
      <w:r>
        <w:rPr>
          <w:b w:val="0"/>
          <w:i w:val="0"/>
        </w:rPr>
        <w:t xml:space="preserve">Click again on the </w:t>
      </w:r>
      <w:r>
        <w:rPr>
          <w:b/>
          <w:i w:val="0"/>
        </w:rPr>
        <w:t>11:15</w:t>
      </w:r>
      <w:r>
        <w:rPr>
          <w:b w:val="0"/>
          <w:i w:val="0"/>
        </w:rPr>
        <w:t xml:space="preserve"> candle (last before 11:15).</w:t>
      </w:r>
    </w:p>
    <w:p>
      <w:r>
        <w:rPr>
          <w:b w:val="0"/>
          <w:i w:val="0"/>
        </w:rPr>
        <w:t xml:space="preserve">A volume histogram appears over those bars. </w:t>
      </w:r>
      <w:r>
        <w:rPr>
          <w:b/>
          <w:i w:val="0"/>
        </w:rPr>
        <w:t>If the range looks wrong:</w:t>
      </w:r>
      <w:r>
        <w:rPr>
          <w:b w:val="0"/>
          <w:i w:val="0"/>
        </w:rPr>
        <w:t xml:space="preserve"> double-click the profile and drag its two vertical anchor lines onto 09:15 and 11:15.</w:t>
      </w:r>
    </w:p>
    <w:p>
      <w:pPr>
        <w:spacing w:before="160"/>
      </w:pPr>
      <w:r>
        <w:rPr>
          <w:b/>
          <w:i w:val="0"/>
          <w:color w:val="B26A00"/>
          <w:sz w:val="21"/>
        </w:rPr>
        <w:t xml:space="preserve">Step 7  </w:t>
      </w:r>
      <w:r>
        <w:rPr>
          <w:b/>
          <w:i w:val="0"/>
          <w:sz w:val="22"/>
        </w:rPr>
        <w:t>— Set rows to 24 and show the POC</w:t>
      </w:r>
    </w:p>
    <w:p>
      <w:r>
        <w:rPr>
          <w:b w:val="0"/>
          <w:i w:val="0"/>
        </w:rPr>
        <w:t>Double-click the histogram to open its settings.</w:t>
      </w:r>
    </w:p>
    <w:p>
      <w:pPr>
        <w:pStyle w:val="ListBullet"/>
        <w:spacing w:after="60"/>
      </w:pPr>
      <w:r>
        <w:rPr>
          <w:b/>
          <w:i w:val="0"/>
        </w:rPr>
        <w:t xml:space="preserve">Inputs tab: </w:t>
      </w:r>
      <w:r>
        <w:rPr>
          <w:b w:val="0"/>
          <w:i w:val="0"/>
        </w:rPr>
        <w:t xml:space="preserve">Rows Layout = </w:t>
      </w:r>
      <w:r>
        <w:rPr>
          <w:b/>
          <w:i w:val="0"/>
        </w:rPr>
        <w:t>Number of Rows</w:t>
      </w:r>
      <w:r>
        <w:rPr>
          <w:b w:val="0"/>
          <w:i w:val="0"/>
        </w:rPr>
        <w:t xml:space="preserve">;  Number of Rows = </w:t>
      </w:r>
      <w:r>
        <w:rPr>
          <w:b/>
          <w:i w:val="0"/>
        </w:rPr>
        <w:t>24</w:t>
      </w:r>
      <w:r>
        <w:rPr>
          <w:b w:val="0"/>
          <w:i w:val="0"/>
        </w:rPr>
        <w:t xml:space="preserve">  (matches our --rows 24).</w:t>
      </w:r>
    </w:p>
    <w:p>
      <w:pPr>
        <w:pStyle w:val="ListBullet"/>
        <w:spacing w:after="60"/>
      </w:pPr>
      <w:r>
        <w:rPr>
          <w:b/>
          <w:i w:val="0"/>
        </w:rPr>
        <w:t xml:space="preserve">Style tab: </w:t>
      </w:r>
      <w:r>
        <w:rPr>
          <w:b w:val="0"/>
          <w:i w:val="0"/>
        </w:rPr>
        <w:t xml:space="preserve">make sure </w:t>
      </w:r>
      <w:r>
        <w:rPr>
          <w:b/>
          <w:i w:val="0"/>
        </w:rPr>
        <w:t>Point of Control</w:t>
      </w:r>
      <w:r>
        <w:rPr>
          <w:b w:val="0"/>
          <w:i w:val="0"/>
        </w:rPr>
        <w:t xml:space="preserve"> is visible; give its line a bright colour (e.g. yellow) so you can spot it.</w:t>
      </w:r>
    </w:p>
    <w:p>
      <w:pPr>
        <w:pStyle w:val="Heading1"/>
      </w:pPr>
      <w:r>
        <w:rPr>
          <w:color w:val="1A1A1A"/>
        </w:rPr>
        <w:t>Part 3 — Read the POC and note it</w:t>
      </w:r>
    </w:p>
    <w:p>
      <w:pPr>
        <w:spacing w:before="160"/>
      </w:pPr>
      <w:r>
        <w:rPr>
          <w:b/>
          <w:i w:val="0"/>
          <w:color w:val="B26A00"/>
          <w:sz w:val="21"/>
        </w:rPr>
        <w:t xml:space="preserve">Step 8  </w:t>
      </w:r>
      <w:r>
        <w:rPr>
          <w:b/>
          <w:i w:val="0"/>
          <w:sz w:val="22"/>
        </w:rPr>
        <w:t>— Read the POC price</w:t>
      </w:r>
    </w:p>
    <w:p>
      <w:r>
        <w:rPr>
          <w:b w:val="0"/>
          <w:i w:val="0"/>
        </w:rPr>
        <w:t xml:space="preserve">The </w:t>
      </w:r>
      <w:r>
        <w:rPr>
          <w:b/>
          <w:i w:val="0"/>
        </w:rPr>
        <w:t>POC</w:t>
      </w:r>
      <w:r>
        <w:rPr>
          <w:b w:val="0"/>
          <w:i w:val="0"/>
        </w:rPr>
        <w:t xml:space="preserve"> is the single longest bar in the histogram — marked by the bright line you set.</w:t>
      </w:r>
    </w:p>
    <w:p>
      <w:pPr>
        <w:pStyle w:val="ListBullet"/>
        <w:spacing w:after="60"/>
      </w:pPr>
      <w:r>
        <w:rPr>
          <w:b w:val="0"/>
          <w:i w:val="0"/>
        </w:rPr>
        <w:t xml:space="preserve">Hover the crosshair on that line and read the price on the </w:t>
      </w:r>
      <w:r>
        <w:rPr>
          <w:b/>
          <w:i w:val="0"/>
        </w:rPr>
        <w:t>right-hand axis</w:t>
      </w:r>
      <w:r>
        <w:rPr>
          <w:b w:val="0"/>
          <w:i w:val="0"/>
        </w:rPr>
        <w:t>.</w:t>
      </w:r>
    </w:p>
    <w:p>
      <w:pPr>
        <w:pStyle w:val="ListBullet"/>
        <w:spacing w:after="60"/>
      </w:pPr>
      <w:r>
        <w:rPr>
          <w:b w:val="0"/>
          <w:i w:val="0"/>
        </w:rPr>
        <w:t>Zoom in (scroll) if the axis is coarse, so you can read to the tick (see the Tick column).</w:t>
      </w:r>
    </w:p>
    <w:p>
      <w:pPr>
        <w:pStyle w:val="ListBullet"/>
        <w:spacing w:after="60"/>
      </w:pPr>
      <w:r>
        <w:rPr>
          <w:b w:val="0"/>
          <w:i w:val="0"/>
        </w:rPr>
        <w:t>You only need the price — we decide the method.</w:t>
      </w:r>
    </w:p>
    <w:tbl>
      <w:tblPr>
        <w:tblStyle w:val="TableGrid"/>
        <w:tblW w:type="auto" w:w="0"/>
        <w:tblLook w:firstColumn="1" w:firstRow="1" w:lastColumn="0" w:lastRow="0" w:noHBand="0" w:noVBand="1" w:val="04A0"/>
      </w:tblPr>
      <w:tblGrid>
        <w:gridCol w:w="8640"/>
      </w:tblGrid>
      <w:tr>
        <w:tc>
          <w:tcPr>
            <w:tcW w:type="dxa" w:w="8640"/>
            <w:shd w:val="clear" w:color="auto" w:fill="FBF1DD"/>
          </w:tcPr>
          <w:p>
            <w:r>
              <w:rPr>
                <w:b/>
                <w:i w:val="0"/>
                <w:color w:val="B26A00"/>
                <w:sz w:val="19"/>
              </w:rPr>
              <w:t>PRECISION TIP</w:t>
            </w:r>
          </w:p>
          <w:p>
            <w:pPr>
              <w:spacing w:before="40"/>
            </w:pPr>
            <w:r>
              <w:rPr>
                <w:b w:val="0"/>
                <w:i w:val="0"/>
              </w:rPr>
              <w:t>Use the horizontal-line tool (left toolbar) to draw a line at each of the three candidate prices from the table. The POC line will visibly land on exactly one of them.</w:t>
            </w:r>
          </w:p>
        </w:tc>
      </w:tr>
    </w:tbl>
    <w:p>
      <w:pPr>
        <w:spacing w:after="120"/>
      </w:pPr>
    </w:p>
    <w:p>
      <w:pPr>
        <w:spacing w:before="160"/>
      </w:pPr>
      <w:r>
        <w:rPr>
          <w:b/>
          <w:i w:val="0"/>
          <w:color w:val="B26A00"/>
          <w:sz w:val="21"/>
        </w:rPr>
        <w:t xml:space="preserve">Step 9  </w:t>
      </w:r>
      <w:r>
        <w:rPr>
          <w:b/>
          <w:i w:val="0"/>
          <w:sz w:val="22"/>
        </w:rPr>
        <w:t>— Note the POC price, then repeat</w:t>
      </w:r>
    </w:p>
    <w:p>
      <w:r>
        <w:rPr>
          <w:b w:val="0"/>
          <w:i w:val="0"/>
        </w:rPr>
        <w:t xml:space="preserve">Jot down this stock's POC price (you'll drop all five into the template below). A screenshot of the chart with the profile drawn is very welcome. Then go back to Step 3 for the next row. </w:t>
      </w:r>
      <w:r>
        <w:rPr>
          <w:b/>
          <w:i w:val="0"/>
        </w:rPr>
        <w:t>Start with DIXON (row 4)</w:t>
      </w:r>
      <w:r>
        <w:rPr>
          <w:b w:val="0"/>
          <w:i w:val="0"/>
        </w:rPr>
        <w:t xml:space="preserve"> if you want the easiest — its ₹350 gap is impossible to misread.</w:t>
      </w:r>
    </w:p>
    <w:p>
      <w:pPr>
        <w:pStyle w:val="Heading1"/>
      </w:pPr>
      <w:r>
        <w:rPr>
          <w:color w:val="1A1A1A"/>
        </w:rPr>
        <w:t>Part 4 — Send these five numbers back</w:t>
      </w:r>
    </w:p>
    <w:p>
      <w:r>
        <w:rPr>
          <w:b w:val="0"/>
          <w:i w:val="0"/>
        </w:rPr>
        <w:t xml:space="preserve">Fill the </w:t>
      </w:r>
      <w:r>
        <w:rPr>
          <w:b/>
          <w:i w:val="0"/>
        </w:rPr>
        <w:t>POC (₹)</w:t>
      </w:r>
      <w:r>
        <w:rPr>
          <w:b w:val="0"/>
          <w:i w:val="0"/>
        </w:rPr>
        <w:t xml:space="preserve"> column below and reply with it. That's the whole deliverable.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576"/>
            <w:shd w:val="clear" w:color="auto" w:fill="1F2A37"/>
          </w:tcPr>
          <w:p>
            <w:r>
              <w:rPr>
                <w:b/>
                <w:i w:val="0"/>
                <w:color w:val="FFFFFF"/>
                <w:sz w:val="20"/>
              </w:rPr>
              <w:t>#</w:t>
            </w:r>
          </w:p>
        </w:tc>
        <w:tc>
          <w:tcPr>
            <w:tcW w:type="dxa" w:w="2448"/>
            <w:shd w:val="clear" w:color="auto" w:fill="1F2A37"/>
          </w:tcPr>
          <w:p>
            <w:r>
              <w:rPr>
                <w:b/>
                <w:i w:val="0"/>
                <w:color w:val="FFFFFF"/>
                <w:sz w:val="20"/>
              </w:rPr>
              <w:t>Symbol</w:t>
            </w:r>
          </w:p>
        </w:tc>
        <w:tc>
          <w:tcPr>
            <w:tcW w:type="dxa" w:w="1584"/>
            <w:shd w:val="clear" w:color="auto" w:fill="1F2A37"/>
          </w:tcPr>
          <w:p>
            <w:r>
              <w:rPr>
                <w:b/>
                <w:i w:val="0"/>
                <w:color w:val="FFFFFF"/>
                <w:sz w:val="20"/>
              </w:rPr>
              <w:t>Date</w:t>
            </w:r>
          </w:p>
        </w:tc>
        <w:tc>
          <w:tcPr>
            <w:tcW w:type="dxa" w:w="3744"/>
            <w:shd w:val="clear" w:color="auto" w:fill="1F2A37"/>
          </w:tcPr>
          <w:p>
            <w:r>
              <w:rPr>
                <w:b/>
                <w:i w:val="0"/>
                <w:color w:val="FFFFFF"/>
                <w:sz w:val="20"/>
              </w:rPr>
              <w:t>POC (₹) — you fill in</w:t>
            </w:r>
          </w:p>
        </w:tc>
      </w:tr>
      <w:tr>
        <w:tc>
          <w:tcPr>
            <w:tcW w:type="dxa" w:w="576"/>
          </w:tcPr>
          <w:p>
            <w:r>
              <w:rPr>
                <w:rFonts w:ascii="Consolas" w:hAnsi="Consolas"/>
                <w:b w:val="0"/>
                <w:i w:val="0"/>
                <w:sz w:val="22"/>
              </w:rPr>
              <w:t>1</w:t>
            </w:r>
          </w:p>
        </w:tc>
        <w:tc>
          <w:tcPr>
            <w:tcW w:type="dxa" w:w="2448"/>
          </w:tcPr>
          <w:p>
            <w:r>
              <w:rPr>
                <w:rFonts w:ascii="Consolas" w:hAnsi="Consolas"/>
                <w:b/>
                <w:i w:val="0"/>
                <w:sz w:val="22"/>
              </w:rPr>
              <w:t>NSE:TCS</w:t>
            </w:r>
          </w:p>
        </w:tc>
        <w:tc>
          <w:tcPr>
            <w:tcW w:type="dxa" w:w="1584"/>
          </w:tcPr>
          <w:p>
            <w:r>
              <w:rPr>
                <w:rFonts w:ascii="Consolas" w:hAnsi="Consolas"/>
                <w:b w:val="0"/>
                <w:i w:val="0"/>
                <w:sz w:val="22"/>
              </w:rPr>
              <w:t>2026-07-14</w:t>
            </w:r>
          </w:p>
        </w:tc>
        <w:tc>
          <w:tcPr>
            <w:tcW w:type="dxa" w:w="3744"/>
            <w:shd w:val="clear" w:color="auto" w:fill="FFF9EC"/>
          </w:tcPr>
          <w:p>
            <w:r>
              <w:rPr>
                <w:b w:val="0"/>
                <w:i w:val="0"/>
                <w:sz w:val="22"/>
              </w:rPr>
            </w:r>
          </w:p>
        </w:tc>
      </w:tr>
      <w:tr>
        <w:tc>
          <w:tcPr>
            <w:tcW w:type="dxa" w:w="576"/>
          </w:tcPr>
          <w:p>
            <w:r>
              <w:rPr>
                <w:rFonts w:ascii="Consolas" w:hAnsi="Consolas"/>
                <w:b w:val="0"/>
                <w:i w:val="0"/>
                <w:sz w:val="22"/>
              </w:rPr>
              <w:t>2</w:t>
            </w:r>
          </w:p>
        </w:tc>
        <w:tc>
          <w:tcPr>
            <w:tcW w:type="dxa" w:w="2448"/>
          </w:tcPr>
          <w:p>
            <w:r>
              <w:rPr>
                <w:rFonts w:ascii="Consolas" w:hAnsi="Consolas"/>
                <w:b/>
                <w:i w:val="0"/>
                <w:sz w:val="22"/>
              </w:rPr>
              <w:t>NSE:RELIANCE</w:t>
            </w:r>
          </w:p>
        </w:tc>
        <w:tc>
          <w:tcPr>
            <w:tcW w:type="dxa" w:w="1584"/>
          </w:tcPr>
          <w:p>
            <w:r>
              <w:rPr>
                <w:rFonts w:ascii="Consolas" w:hAnsi="Consolas"/>
                <w:b w:val="0"/>
                <w:i w:val="0"/>
                <w:sz w:val="22"/>
              </w:rPr>
              <w:t>2026-07-16</w:t>
            </w:r>
          </w:p>
        </w:tc>
        <w:tc>
          <w:tcPr>
            <w:tcW w:type="dxa" w:w="3744"/>
            <w:shd w:val="clear" w:color="auto" w:fill="FFF9EC"/>
          </w:tcPr>
          <w:p>
            <w:r>
              <w:rPr>
                <w:b w:val="0"/>
                <w:i w:val="0"/>
                <w:sz w:val="22"/>
              </w:rPr>
            </w:r>
          </w:p>
        </w:tc>
      </w:tr>
      <w:tr>
        <w:tc>
          <w:tcPr>
            <w:tcW w:type="dxa" w:w="576"/>
          </w:tcPr>
          <w:p>
            <w:r>
              <w:rPr>
                <w:rFonts w:ascii="Consolas" w:hAnsi="Consolas"/>
                <w:b w:val="0"/>
                <w:i w:val="0"/>
                <w:sz w:val="22"/>
              </w:rPr>
              <w:t>3</w:t>
            </w:r>
          </w:p>
        </w:tc>
        <w:tc>
          <w:tcPr>
            <w:tcW w:type="dxa" w:w="2448"/>
          </w:tcPr>
          <w:p>
            <w:r>
              <w:rPr>
                <w:rFonts w:ascii="Consolas" w:hAnsi="Consolas"/>
                <w:b/>
                <w:i w:val="0"/>
                <w:sz w:val="22"/>
              </w:rPr>
              <w:t>NSE:HDFCBANK</w:t>
            </w:r>
          </w:p>
        </w:tc>
        <w:tc>
          <w:tcPr>
            <w:tcW w:type="dxa" w:w="1584"/>
          </w:tcPr>
          <w:p>
            <w:r>
              <w:rPr>
                <w:rFonts w:ascii="Consolas" w:hAnsi="Consolas"/>
                <w:b w:val="0"/>
                <w:i w:val="0"/>
                <w:sz w:val="22"/>
              </w:rPr>
              <w:t>2026-07-14</w:t>
            </w:r>
          </w:p>
        </w:tc>
        <w:tc>
          <w:tcPr>
            <w:tcW w:type="dxa" w:w="3744"/>
            <w:shd w:val="clear" w:color="auto" w:fill="FFF9EC"/>
          </w:tcPr>
          <w:p>
            <w:r>
              <w:rPr>
                <w:b w:val="0"/>
                <w:i w:val="0"/>
                <w:sz w:val="22"/>
              </w:rPr>
            </w:r>
          </w:p>
        </w:tc>
      </w:tr>
      <w:tr>
        <w:tc>
          <w:tcPr>
            <w:tcW w:type="dxa" w:w="576"/>
          </w:tcPr>
          <w:p>
            <w:r>
              <w:rPr>
                <w:rFonts w:ascii="Consolas" w:hAnsi="Consolas"/>
                <w:b w:val="0"/>
                <w:i w:val="0"/>
                <w:sz w:val="22"/>
              </w:rPr>
              <w:t>4</w:t>
            </w:r>
          </w:p>
        </w:tc>
        <w:tc>
          <w:tcPr>
            <w:tcW w:type="dxa" w:w="2448"/>
          </w:tcPr>
          <w:p>
            <w:r>
              <w:rPr>
                <w:rFonts w:ascii="Consolas" w:hAnsi="Consolas"/>
                <w:b/>
                <w:i w:val="0"/>
                <w:sz w:val="22"/>
              </w:rPr>
              <w:t>NSE:DIXON</w:t>
            </w:r>
          </w:p>
        </w:tc>
        <w:tc>
          <w:tcPr>
            <w:tcW w:type="dxa" w:w="1584"/>
          </w:tcPr>
          <w:p>
            <w:r>
              <w:rPr>
                <w:rFonts w:ascii="Consolas" w:hAnsi="Consolas"/>
                <w:b w:val="0"/>
                <w:i w:val="0"/>
                <w:sz w:val="22"/>
              </w:rPr>
              <w:t>2026-07-16</w:t>
            </w:r>
          </w:p>
        </w:tc>
        <w:tc>
          <w:tcPr>
            <w:tcW w:type="dxa" w:w="3744"/>
            <w:shd w:val="clear" w:color="auto" w:fill="FFF9EC"/>
          </w:tcPr>
          <w:p>
            <w:r>
              <w:rPr>
                <w:b w:val="0"/>
                <w:i w:val="0"/>
                <w:sz w:val="22"/>
              </w:rPr>
            </w:r>
          </w:p>
        </w:tc>
      </w:tr>
      <w:tr>
        <w:tc>
          <w:tcPr>
            <w:tcW w:type="dxa" w:w="576"/>
          </w:tcPr>
          <w:p>
            <w:r>
              <w:rPr>
                <w:rFonts w:ascii="Consolas" w:hAnsi="Consolas"/>
                <w:b w:val="0"/>
                <w:i w:val="0"/>
                <w:sz w:val="22"/>
              </w:rPr>
              <w:t>5</w:t>
            </w:r>
          </w:p>
        </w:tc>
        <w:tc>
          <w:tcPr>
            <w:tcW w:type="dxa" w:w="2448"/>
          </w:tcPr>
          <w:p>
            <w:r>
              <w:rPr>
                <w:rFonts w:ascii="Consolas" w:hAnsi="Consolas"/>
                <w:b/>
                <w:i w:val="0"/>
                <w:sz w:val="22"/>
              </w:rPr>
              <w:t>NSE:MANAPPURAM</w:t>
            </w:r>
          </w:p>
        </w:tc>
        <w:tc>
          <w:tcPr>
            <w:tcW w:type="dxa" w:w="1584"/>
          </w:tcPr>
          <w:p>
            <w:r>
              <w:rPr>
                <w:rFonts w:ascii="Consolas" w:hAnsi="Consolas"/>
                <w:b w:val="0"/>
                <w:i w:val="0"/>
                <w:sz w:val="22"/>
              </w:rPr>
              <w:t>2026-07-15</w:t>
            </w:r>
          </w:p>
        </w:tc>
        <w:tc>
          <w:tcPr>
            <w:tcW w:type="dxa" w:w="3744"/>
            <w:shd w:val="clear" w:color="auto" w:fill="FFF9EC"/>
          </w:tcPr>
          <w:p>
            <w:r>
              <w:rPr>
                <w:b w:val="0"/>
                <w:i w:val="0"/>
                <w:sz w:val="22"/>
              </w:rPr>
            </w:r>
          </w:p>
        </w:tc>
      </w:tr>
      <w:tr>
        <w:tc>
          <w:tcPr>
            <w:tcW w:type="dxa" w:w="576"/>
          </w:tcPr>
          <w:p>
            <w:r>
              <w:rPr>
                <w:b w:val="0"/>
                <w:i w:val="0"/>
                <w:sz w:val="22"/>
              </w:rPr>
            </w:r>
          </w:p>
        </w:tc>
        <w:tc>
          <w:tcPr>
            <w:tcW w:type="dxa" w:w="1584"/>
            <w:gridSpan w:val="2"/>
          </w:tcPr>
          <w:p>
            <w:r>
              <w:rPr>
                <w:b/>
                <w:i w:val="0"/>
                <w:sz w:val="20"/>
              </w:rPr>
              <w:t>Chart timeframe used</w:t>
            </w:r>
          </w:p>
        </w:tc>
        <w:tc>
          <w:tcPr>
            <w:tcW w:type="dxa" w:w="3744"/>
            <w:shd w:val="clear" w:color="auto" w:fill="FFF9EC"/>
          </w:tcPr>
          <w:p>
            <w:r>
              <w:rPr>
                <w:b w:val="0"/>
                <w:i w:val="0"/>
                <w:sz w:val="22"/>
              </w:rPr>
            </w:r>
          </w:p>
        </w:tc>
      </w:tr>
    </w:tbl>
    <w:p>
      <w:pPr>
        <w:spacing w:after="160"/>
      </w:pPr>
    </w:p>
    <w:tbl>
      <w:tblPr>
        <w:tblStyle w:val="TableGrid"/>
        <w:tblW w:type="auto" w:w="0"/>
        <w:tblLook w:firstColumn="1" w:firstRow="1" w:lastColumn="0" w:lastRow="0" w:noHBand="0" w:noVBand="1" w:val="04A0"/>
      </w:tblPr>
      <w:tblGrid>
        <w:gridCol w:w="8640"/>
      </w:tblGrid>
      <w:tr>
        <w:tc>
          <w:tcPr>
            <w:tcW w:type="dxa" w:w="8640"/>
            <w:shd w:val="clear" w:color="auto" w:fill="FBF1DD"/>
          </w:tcPr>
          <w:p>
            <w:r>
              <w:rPr>
                <w:b/>
                <w:i w:val="0"/>
                <w:color w:val="B26A00"/>
                <w:sz w:val="19"/>
              </w:rPr>
              <w:t>WHAT HAPPENS WITH YOUR NUMBERS</w:t>
            </w:r>
          </w:p>
          <w:p>
            <w:pPr>
              <w:spacing w:before="40"/>
            </w:pPr>
            <w:r>
              <w:rPr>
                <w:b w:val="0"/>
                <w:i w:val="0"/>
              </w:rPr>
              <w:t>Each POC you send lands on one of the three candidates in the reference table; the method that matches on the most days becomes the one our backtester uses, so its profiles line up with your TradingView charts. Thank you!</w:t>
            </w:r>
          </w:p>
        </w:tc>
      </w:tr>
    </w:tbl>
    <w:p>
      <w:pPr>
        <w:spacing w:after="120"/>
      </w:pPr>
    </w:p>
    <w:p>
      <w:pPr>
        <w:pStyle w:val="Heading1"/>
      </w:pPr>
      <w:r>
        <w:rPr>
          <w:color w:val="1A1A1A"/>
        </w:rPr>
        <w:t>Troubleshooting</w:t>
      </w:r>
    </w:p>
    <w:p>
      <w:pPr>
        <w:spacing w:after="100"/>
      </w:pPr>
      <w:r>
        <w:rPr>
          <w:b/>
          <w:i w:val="0"/>
        </w:rPr>
        <w:t xml:space="preserve">POC line hard to see — </w:t>
      </w:r>
      <w:r>
        <w:rPr>
          <w:b w:val="0"/>
          <w:i w:val="0"/>
        </w:rPr>
        <w:t>Double-click the profile ▸ Style ▸ brighten and thicken the Point of Control line; raise the histogram opacity.</w:t>
      </w:r>
    </w:p>
    <w:p>
      <w:pPr>
        <w:spacing w:after="100"/>
      </w:pPr>
      <w:r>
        <w:rPr>
          <w:b/>
          <w:i w:val="0"/>
        </w:rPr>
        <w:t xml:space="preserve">Can't reach the date / no intraday history — </w:t>
      </w:r>
      <w:r>
        <w:rPr>
          <w:b w:val="0"/>
          <w:i w:val="0"/>
        </w:rPr>
        <w:t>Confirm the interval is 1m and you scrolled to the correct day. All five dates are confirmed trading days (not holidays).</w:t>
      </w:r>
    </w:p>
    <w:p>
      <w:pPr>
        <w:spacing w:after="100"/>
      </w:pPr>
      <w:r>
        <w:rPr>
          <w:b/>
          <w:i w:val="0"/>
        </w:rPr>
        <w:t xml:space="preserve">TradingView's number is slightly off from our table — </w:t>
      </w:r>
      <w:r>
        <w:rPr>
          <w:b w:val="0"/>
          <w:i w:val="0"/>
        </w:rPr>
        <w:t>Expected — TradingView's data vendor differs from ours, so tiny differences are normal. Match the POC to the nearest of the three candidates, not to an exact value.</w:t>
      </w:r>
    </w:p>
    <w:p>
      <w:pPr>
        <w:spacing w:after="100"/>
      </w:pPr>
      <w:r>
        <w:rPr>
          <w:b/>
          <w:i w:val="0"/>
        </w:rPr>
        <w:t xml:space="preserve">Using a 15-minute chart instead — </w:t>
      </w:r>
      <w:r>
        <w:rPr>
          <w:b w:val="0"/>
          <w:i w:val="0"/>
        </w:rPr>
        <w:t>Fine — then select from the 09:15 bar through the 11:00 bar (its close is 11:15). Note “15m” in your reply.</w:t>
      </w:r>
    </w:p>
    <w:p>
      <w:pPr>
        <w:spacing w:before="240"/>
      </w:pPr>
      <w:r>
        <w:rPr>
          <w:b w:val="0"/>
          <w:i/>
          <w:color w:val="555F6D"/>
          <w:sz w:val="17"/>
        </w:rPr>
        <w:t>Acumen PoC · Step 5 field guide   |   Window 09:15–11:15 · Rows 24 · 1m · NSE · 5 stock-days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