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fe90dbe9-d86b-440b-a107-9e4f613560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MicroGoal Project: Technology Stack &amp; Architecture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Overview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Date:</w:t>
      </w:r>
      <w:r>
        <w:rPr>
          <w:rFonts w:ascii="Canva Sans" w:eastAsia="Canva Sans" w:cs="Canva Sans" w:hAnsi="Canva Sans"/>
          <w:color w:val="000000"/>
        </w:rPr>
        <w:t xml:space="preserve"> March 08,</w:t>
      </w:r>
      <w:bookmarkStart w:id="0" w:name="_GoBack"/>
      <w:bookmarkEnd w:id="0"/>
      <w:r>
        <w:rPr>
          <w:rFonts w:ascii="Canva Sans" w:eastAsia="Canva Sans" w:cs="Canva Sans" w:hAnsi="Canva Sans"/>
          <w:color w:val="000000"/>
        </w:rPr>
        <w:t>2026 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Project Name:</w:t>
      </w: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MicroGoal</w:t>
      </w:r>
      <w:r>
        <w:rPr>
          <w:rFonts w:ascii="Canva Sans" w:eastAsia="Canva Sans" w:cs="Canva Sans" w:hAnsi="Canva Sans"/>
          <w:color w:val="000000"/>
        </w:rPr>
        <w:t>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Maximum Marks:</w:t>
      </w:r>
      <w:r>
        <w:rPr>
          <w:rFonts w:ascii="Canva Sans" w:eastAsia="Canva Sans" w:cs="Canva Sans" w:hAnsi="Canva Sans"/>
          <w:color w:val="000000"/>
        </w:rPr>
        <w:t xml:space="preserve"> 4 Marks 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Phase:</w:t>
      </w:r>
      <w:r>
        <w:rPr>
          <w:rFonts w:ascii="Canva Sans" w:eastAsia="Canva Sans" w:cs="Canva Sans" w:hAnsi="Canva Sans"/>
          <w:color w:val="000000"/>
        </w:rPr>
        <w:t xml:space="preserve"> Design Phase-II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🏗️ Technical Architecture Components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Our MicroGoal application is built on a robust, scalable architecture designed for optimal performance and maintainability. Below is the comprehensive breakdown of our technology stack: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🖥️ User Interface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⚙️ Application Logic - Authentication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🔧 Application Logic - Data Processing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🔐 Authentication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Advanced token generation and verification system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💾 Database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Reliable storage solution for users and goals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🛡️ Middleware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🚀 Key Technical Characteristics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📖 Open-Source Excellence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Leveraging proven backend development frameworks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🗄️ Modern Database Solution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🔒 Enterprise-Grade Security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🌐 RESTful Communication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Clean API design using standard HTTP methods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📈 Scalable Architecture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🧪 Comprehensive Testing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💡 Architecture Highlights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Modular Design Philosophy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Our architecture follows the </w:t>
      </w:r>
      <w:r>
        <w:rPr>
          <w:rFonts w:ascii="Canva Sans Bold" w:eastAsia="Canva Sans Bold" w:cs="Canva Sans Bold" w:hAnsi="Canva Sans Bold"/>
          <w:b/>
          <w:bCs/>
          <w:color w:val="000000"/>
        </w:rPr>
        <w:t>Model-View-Controller (MVC)</w:t>
      </w:r>
      <w:r>
        <w:rPr>
          <w:rFonts w:ascii="Canva Sans" w:eastAsia="Canva Sans" w:cs="Canva Sans" w:hAnsi="Canva Sans"/>
          <w:color w:val="000000"/>
        </w:rPr>
        <w:t xml:space="preserve"> pattern, ensuring: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Clean separation of concerns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Easy maintenance and updates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Seamless scalability for future features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Security-First Approach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JWT-based authentication</w:t>
      </w:r>
      <w:r>
        <w:rPr>
          <w:rFonts w:ascii="Canva Sans" w:eastAsia="Canva Sans" w:cs="Canva Sans" w:hAnsi="Canva Sans"/>
          <w:color w:val="000000"/>
        </w:rPr>
        <w:t xml:space="preserve"> provides stateless, secure user sessions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Express middleware</w:t>
      </w:r>
      <w:r>
        <w:rPr>
          <w:rFonts w:ascii="Canva Sans" w:eastAsia="Canva Sans" w:cs="Canva Sans" w:hAnsi="Canva Sans"/>
          <w:color w:val="000000"/>
        </w:rPr>
        <w:t xml:space="preserve"> offers comprehensive route protection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Centralized error handling</w:t>
      </w:r>
      <w:r>
        <w:rPr>
          <w:rFonts w:ascii="Canva Sans" w:eastAsia="Canva Sans" w:cs="Canva Sans" w:hAnsi="Canva Sans"/>
          <w:color w:val="000000"/>
        </w:rPr>
        <w:t xml:space="preserve"> ensures consistent security responses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Performance Optimization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MongoDB with Mongoose</w:t>
      </w:r>
      <w:r>
        <w:rPr>
          <w:rFonts w:ascii="Canva Sans" w:eastAsia="Canva Sans" w:cs="Canva Sans" w:hAnsi="Canva Sans"/>
          <w:color w:val="000000"/>
        </w:rPr>
        <w:t xml:space="preserve"> delivers fast, flexible data operations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Node.js event-driven architecture</w:t>
      </w:r>
      <w:r>
        <w:rPr>
          <w:rFonts w:ascii="Canva Sans" w:eastAsia="Canva Sans" w:cs="Canva Sans" w:hAnsi="Canva Sans"/>
          <w:color w:val="000000"/>
        </w:rPr>
        <w:t xml:space="preserve"> handles concurrent requests efficiently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RESTful API design</w:t>
      </w:r>
      <w:r>
        <w:rPr>
          <w:rFonts w:ascii="Canva Sans" w:eastAsia="Canva Sans" w:cs="Canva Sans" w:hAnsi="Canva Sans"/>
          <w:color w:val="000000"/>
        </w:rPr>
        <w:t xml:space="preserve"> ensures optimal client-server communication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This technology stack positions MicroGoal as a modern, secure, and scalable application ready for production deployment and future enhancements.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85C8D61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913C508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B7C4603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341</Words>
  <Characters>2209</Characters>
  <Lines>109</Lines>
  <Paragraphs>65</Paragraphs>
  <CharactersWithSpaces>2536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2026-03-08T15:51:37Z</dcterms:modified>
</cp:coreProperties>
</file>