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986779">
      <w:pPr>
        <w:pStyle w:val="Title"/>
      </w:pPr>
      <w:r>
        <w:t>Gossips, Gossips</w:t>
      </w:r>
    </w:p>
    <w:p w:rsidR="00EA3A95" w:rsidRDefault="0025652B" w:rsidP="00986779">
      <w:pPr>
        <w:pStyle w:val="Subtitle"/>
      </w:pPr>
      <w:r>
        <w:t>Spreading Rumors in Social Networks</w:t>
      </w:r>
    </w:p>
    <w:p w:rsidR="00EA3A95" w:rsidRDefault="00EA3A95" w:rsidP="00986779">
      <w:pPr>
        <w:pStyle w:val="Heading1"/>
      </w:pPr>
      <w:r>
        <w:t>Abstract</w:t>
      </w:r>
    </w:p>
    <w:p w:rsidR="002548EB" w:rsidRPr="002548EB" w:rsidRDefault="00B05782" w:rsidP="002548EB">
      <w:r>
        <w:t xml:space="preserve">In this paper, we consider how to model rumor spreading through social networks, specifically through Facebook. </w:t>
      </w:r>
      <w:r w:rsidR="002548EB" w:rsidRPr="002548EB">
        <w:t xml:space="preserve">We start with a differential equation model based off of the classic SIR model in order to get an understanding of potential behavior.  We then expand that to an agent based model based on actual </w:t>
      </w:r>
      <w:r w:rsidR="00D34AD9">
        <w:t xml:space="preserve">Facebook </w:t>
      </w:r>
      <w:proofErr w:type="gramStart"/>
      <w:r w:rsidR="002548EB" w:rsidRPr="002548EB">
        <w:t>friends</w:t>
      </w:r>
      <w:proofErr w:type="gramEnd"/>
      <w:r w:rsidR="002548EB" w:rsidRPr="002548EB">
        <w:t xml:space="preserve"> lists.  By testing over hundreds of different combinations of parameters acro</w:t>
      </w:r>
      <w:r w:rsidR="00C22BE9">
        <w:t>ss several Facebook graphs, we we</w:t>
      </w:r>
      <w:r w:rsidR="002548EB" w:rsidRPr="002548EB">
        <w:t xml:space="preserve">re able to determine certain predictable behaviors that depend on the size and density of </w:t>
      </w:r>
      <w:r w:rsidR="00C22BE9">
        <w:t>a given</w:t>
      </w:r>
      <w:r w:rsidR="002548EB" w:rsidRPr="002548EB">
        <w:t xml:space="preserve"> network. Some of these behaviors are </w:t>
      </w:r>
      <w:r w:rsidR="00821B64">
        <w:t>expressed in the same way</w:t>
      </w:r>
      <w:r w:rsidR="002548EB" w:rsidRPr="002548EB">
        <w:t xml:space="preserve"> independent of the size and density and others are realized differently in different networks.</w:t>
      </w:r>
    </w:p>
    <w:p w:rsidR="00EA3A95" w:rsidRDefault="00EA3A95" w:rsidP="00986779">
      <w:pPr>
        <w:pStyle w:val="Heading1"/>
      </w:pPr>
      <w:r>
        <w:t>Background</w:t>
      </w:r>
    </w:p>
    <w:p w:rsidR="003D6302" w:rsidRDefault="003D6302" w:rsidP="00986779">
      <w:r>
        <w:t xml:space="preserve">All humans are active agents in rumor spreading.  While we generally think of rumors as high-school gossip or schoolyard trash talk, rumors can have a large impact.  In late 2013, rumors regarding how China would react to the rise of </w:t>
      </w:r>
      <w:proofErr w:type="spellStart"/>
      <w:r>
        <w:t>Bitcoin</w:t>
      </w:r>
      <w:proofErr w:type="spellEnd"/>
      <w:r>
        <w:t xml:space="preserve">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proofErr w:type="spellStart"/>
      <w:r w:rsidR="0016037C">
        <w:t>Ignorant</w:t>
      </w:r>
      <w:r w:rsidR="0079533A">
        <w:t>s</w:t>
      </w:r>
      <w:proofErr w:type="spellEnd"/>
      <w:r>
        <w:t xml:space="preserve"> (I), </w:t>
      </w:r>
      <w:r w:rsidR="0016037C">
        <w:t>Spreader</w:t>
      </w:r>
      <w:r w:rsidR="0079533A">
        <w:t>s</w:t>
      </w:r>
      <w:r>
        <w:t xml:space="preserve"> (S), and </w:t>
      </w:r>
      <w:proofErr w:type="spellStart"/>
      <w:r w:rsidR="0016037C">
        <w:t>Stifler</w:t>
      </w:r>
      <w:r w:rsidR="0079533A">
        <w:t>s</w:t>
      </w:r>
      <w:proofErr w:type="spellEnd"/>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w:t>
      </w:r>
      <w:r w:rsidR="0016037C">
        <w:t>Spreader</w:t>
      </w:r>
      <w:r w:rsidR="0079533A">
        <w:t>s</w:t>
      </w:r>
      <w:r>
        <w:t xml:space="preserve">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t xml:space="preserve">Each person comes into contact with a percentage of the population k.  </w:t>
      </w:r>
    </w:p>
    <w:p w:rsidR="003D6302" w:rsidRDefault="003D6302" w:rsidP="00986779">
      <w:pPr>
        <w:pStyle w:val="ListParagraph"/>
        <w:numPr>
          <w:ilvl w:val="0"/>
          <w:numId w:val="1"/>
        </w:numPr>
      </w:pPr>
      <w:r>
        <w:lastRenderedPageBreak/>
        <w:t xml:space="preserve">Whenever a </w:t>
      </w:r>
      <w:r w:rsidR="0016037C">
        <w:t>Spreader</w:t>
      </w:r>
      <w:r>
        <w:t xml:space="preserve"> contacts an </w:t>
      </w:r>
      <w:r w:rsidR="0016037C">
        <w:t>Ignorant</w:t>
      </w:r>
      <w:r>
        <w:t xml:space="preserve">, the </w:t>
      </w:r>
      <w:r w:rsidR="0016037C">
        <w:t>Ignorant</w:t>
      </w:r>
      <w:r>
        <w:t xml:space="preserve"> becomes a </w:t>
      </w:r>
      <w:r w:rsidR="0016037C">
        <w:t>Spreader</w:t>
      </w:r>
      <w:r>
        <w:t xml:space="preserve"> at a </w:t>
      </w:r>
      <w:proofErr w:type="gramStart"/>
      <w:r>
        <w:t xml:space="preserve">rate </w:t>
      </w:r>
      <w:proofErr w:type="gramEnd"/>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w:t>
      </w:r>
      <w:r w:rsidR="0016037C">
        <w:t>Spreader</w:t>
      </w:r>
      <w:r>
        <w:t xml:space="preserve"> contacts another </w:t>
      </w:r>
      <w:r w:rsidR="0016037C">
        <w:t>Spreader</w:t>
      </w:r>
      <w:r>
        <w:t xml:space="preserve"> or a </w:t>
      </w:r>
      <w:proofErr w:type="spellStart"/>
      <w:r w:rsidR="0016037C">
        <w:t>Stifler</w:t>
      </w:r>
      <w:proofErr w:type="spellEnd"/>
      <w:r>
        <w:t xml:space="preserve"> the initiating </w:t>
      </w:r>
      <w:r w:rsidR="0016037C">
        <w:t>Spreader</w:t>
      </w:r>
      <w:r>
        <w:t xml:space="preserve"> becomes a </w:t>
      </w:r>
      <w:proofErr w:type="spellStart"/>
      <w:r w:rsidR="0016037C">
        <w:t>Stifler</w:t>
      </w:r>
      <w:proofErr w:type="spellEnd"/>
      <w:r>
        <w:t xml:space="preserve"> at a </w:t>
      </w:r>
      <w:proofErr w:type="gramStart"/>
      <w:r>
        <w:t xml:space="preserve">rate </w:t>
      </w:r>
      <w:proofErr w:type="gramEnd"/>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16037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16037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16037C"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w:t>
      </w:r>
      <w:proofErr w:type="gramStart"/>
      <w:r>
        <w:t xml:space="preserve">substitution </w:t>
      </w:r>
      <w:proofErr w:type="gramEnd"/>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16037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16037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 xml:space="preserve">In this model, the only steady state is clearly along the </w:t>
      </w:r>
      <w:proofErr w:type="gramStart"/>
      <w:r w:rsidRPr="000463FC">
        <w:t>line</w:t>
      </w:r>
      <w:r>
        <w:t xml:space="preserve"> </w:t>
      </w:r>
      <w:proofErr w:type="gramEnd"/>
      <m:oMath>
        <m:r>
          <w:rPr>
            <w:rFonts w:ascii="Cambria Math" w:hAnsi="Cambria Math"/>
          </w:rPr>
          <m:t>S=0</m:t>
        </m:r>
      </m:oMath>
      <w:r w:rsidRPr="000463FC">
        <w:t xml:space="preserve">, and it is a stable steady state. This is because </w:t>
      </w:r>
      <w:proofErr w:type="spellStart"/>
      <w:r w:rsidR="0016037C">
        <w:t>Ignorant</w:t>
      </w:r>
      <w:r w:rsidR="0079533A">
        <w:t>s</w:t>
      </w:r>
      <w:proofErr w:type="spellEnd"/>
      <w:r w:rsidRPr="000463FC">
        <w:t xml:space="preserve"> depend on the presence of </w:t>
      </w:r>
      <w:r w:rsidR="0016037C">
        <w:t>Spreader</w:t>
      </w:r>
      <w:r w:rsidR="0079533A">
        <w:t>s</w:t>
      </w:r>
      <w:r w:rsidRPr="000463FC">
        <w:t xml:space="preserve"> for their population to change, and if there are no </w:t>
      </w:r>
      <w:r w:rsidR="0016037C">
        <w:t>Spreader</w:t>
      </w:r>
      <w:r w:rsidR="0079533A">
        <w:t>s</w:t>
      </w:r>
      <w:r w:rsidRPr="000463FC">
        <w:t xml:space="preserve">, no additional </w:t>
      </w:r>
      <w:proofErr w:type="spellStart"/>
      <w:r w:rsidR="0016037C">
        <w:t>Stifler</w:t>
      </w:r>
      <w:r w:rsidR="0079533A">
        <w:t>s</w:t>
      </w:r>
      <w:proofErr w:type="spellEnd"/>
      <w:r w:rsidRPr="000463FC">
        <w:t xml:space="preserve">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w:t>
      </w:r>
      <w:r w:rsidR="0016037C">
        <w:t>Spreader</w:t>
      </w:r>
      <w:r w:rsidR="0079533A">
        <w:t>s</w:t>
      </w:r>
      <w:r w:rsidRPr="00CD19DC">
        <w:t xml:space="preserve"> would become </w:t>
      </w:r>
      <w:proofErr w:type="spellStart"/>
      <w:r w:rsidR="0016037C">
        <w:t>Stifler</w:t>
      </w:r>
      <w:r w:rsidR="0079533A">
        <w:t>s</w:t>
      </w:r>
      <w:proofErr w:type="spellEnd"/>
      <w:r w:rsidRPr="00CD19DC">
        <w:t xml:space="preserve"> only if they were themselves stifled by another </w:t>
      </w:r>
      <w:proofErr w:type="spellStart"/>
      <w:r w:rsidR="0016037C">
        <w:t>Stifler</w:t>
      </w:r>
      <w:proofErr w:type="spellEnd"/>
      <w:r w:rsidRPr="00CD19DC">
        <w:t xml:space="preserve"> or </w:t>
      </w:r>
      <w:r w:rsidR="0016037C">
        <w:t>Spreader</w:t>
      </w:r>
      <w:r w:rsidRPr="00CD19DC">
        <w:t xml:space="preserve">. However, </w:t>
      </w:r>
      <w:r w:rsidR="0016037C">
        <w:t>Spreader</w:t>
      </w:r>
      <w:r w:rsidR="0079533A">
        <w:t>s</w:t>
      </w:r>
      <w:r w:rsidRPr="00CD19DC">
        <w:t xml:space="preserve"> may also spontaneously decide to become </w:t>
      </w:r>
      <w:proofErr w:type="spellStart"/>
      <w:r w:rsidR="0016037C">
        <w:t>Stifler</w:t>
      </w:r>
      <w:r w:rsidR="0079533A">
        <w:t>s</w:t>
      </w:r>
      <w:proofErr w:type="spellEnd"/>
      <w:r w:rsidRPr="00CD19DC">
        <w:t xml:space="preserve"> for a variety of reasons. For example, the </w:t>
      </w:r>
      <w:r w:rsidR="0016037C">
        <w:t>Spreader</w:t>
      </w:r>
      <w:r w:rsidRPr="00CD19DC">
        <w:t xml:space="preserve"> may realize the rumor isn’t as exciting a</w:t>
      </w:r>
      <w:bookmarkStart w:id="0" w:name="_GoBack"/>
      <w:bookmarkEnd w:id="0"/>
      <w:r w:rsidRPr="00CD19DC">
        <w:t xml:space="preserve">s it used to be, or the </w:t>
      </w:r>
      <w:r w:rsidR="0016037C">
        <w:t>Spreader</w:t>
      </w:r>
      <w:r w:rsidRPr="00CD19DC">
        <w:t xml:space="preserve">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w:t>
      </w:r>
      <w:r w:rsidR="0016037C">
        <w:t>Spreader</w:t>
      </w:r>
      <w:r w:rsidRPr="00CD19DC">
        <w:t xml:space="preserve"> may spontaneously decide to become a </w:t>
      </w:r>
      <w:proofErr w:type="spellStart"/>
      <w:r w:rsidR="0016037C">
        <w:t>Stifler</w:t>
      </w:r>
      <w:proofErr w:type="spellEnd"/>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16037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16037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16037C"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16037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16037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w:t>
      </w:r>
      <w:r w:rsidR="0016037C">
        <w:t>Spreader</w:t>
      </w:r>
      <w:r w:rsidR="0079533A">
        <w:t>s</w:t>
      </w:r>
      <w:r>
        <w:t xml:space="preserve">, and I0% refers to the initial percentage of the population that is </w:t>
      </w:r>
      <w:proofErr w:type="spellStart"/>
      <w:r w:rsidR="0016037C">
        <w:t>Ignorant</w:t>
      </w:r>
      <w:r w:rsidR="0079533A">
        <w:t>s</w:t>
      </w:r>
      <w:proofErr w:type="spellEnd"/>
      <w:r>
        <w:t xml:space="preserve">. </w:t>
      </w:r>
      <w:r w:rsidR="00FB76B8">
        <w:t>Note that the</w:t>
      </w:r>
      <w:r>
        <w:t xml:space="preserve"> time axis is </w:t>
      </w:r>
      <w:proofErr w:type="spellStart"/>
      <w:r>
        <w:t>unitless</w:t>
      </w:r>
      <w:proofErr w:type="spellEnd"/>
      <w:r>
        <w:t xml:space="preserve">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 xml:space="preserve">We see from both Model 1 and Model 2 that we expect a quick spike in the number of </w:t>
      </w:r>
      <w:r w:rsidR="0016037C">
        <w:t>Spreader</w:t>
      </w:r>
      <w:r w:rsidR="0079533A">
        <w:t>s</w:t>
      </w:r>
      <w:r>
        <w:t xml:space="preserve"> as the rumor grows, followed by a long tail as the </w:t>
      </w:r>
      <w:r w:rsidR="0016037C">
        <w:t>Spreader</w:t>
      </w:r>
      <w:r w:rsidR="0079533A">
        <w:t>s</w:t>
      </w:r>
      <w:r>
        <w:t xml:space="preserve"> are converted into </w:t>
      </w:r>
      <w:proofErr w:type="spellStart"/>
      <w:r w:rsidR="0016037C">
        <w:t>Stifler</w:t>
      </w:r>
      <w:r w:rsidR="0079533A">
        <w:t>s</w:t>
      </w:r>
      <w:proofErr w:type="spellEnd"/>
      <w:r>
        <w:t xml:space="preserve">.  In Model 2, the conversion happens quicker, which makes sense given the increased chance for a </w:t>
      </w:r>
      <w:r w:rsidR="0016037C">
        <w:t>Spreader</w:t>
      </w:r>
      <w:r>
        <w:t xml:space="preserve"> to become a </w:t>
      </w:r>
      <w:proofErr w:type="spellStart"/>
      <w:r w:rsidR="0016037C">
        <w:t>Stifler</w:t>
      </w:r>
      <w:proofErr w:type="spellEnd"/>
      <w:r>
        <w:t>.</w:t>
      </w:r>
    </w:p>
    <w:p w:rsidR="00416E88" w:rsidRDefault="00416E88" w:rsidP="00416E88">
      <w:pPr>
        <w:pStyle w:val="Heading1"/>
      </w:pPr>
      <w:r>
        <w:t>Phase Plane Analysis for Model 2</w:t>
      </w:r>
    </w:p>
    <w:p w:rsidR="00CB35F8" w:rsidRDefault="00CB35F8" w:rsidP="00CB35F8">
      <w:r>
        <w:t xml:space="preserve">We also conducted phase plane analysis between </w:t>
      </w:r>
      <w:proofErr w:type="spellStart"/>
      <w:r w:rsidR="0016037C">
        <w:t>Stifler</w:t>
      </w:r>
      <w:r w:rsidR="0079533A">
        <w:t>s</w:t>
      </w:r>
      <w:proofErr w:type="spellEnd"/>
      <w:r>
        <w:t xml:space="preserve"> and </w:t>
      </w:r>
      <w:proofErr w:type="spellStart"/>
      <w:r w:rsidR="0016037C">
        <w:t>Ignorant</w:t>
      </w:r>
      <w:r w:rsidR="0079533A">
        <w:t>s</w:t>
      </w:r>
      <w:proofErr w:type="spellEnd"/>
      <w:r>
        <w:t xml:space="preserve">.  The analysis confirms our analysis of a single stable point when the number of </w:t>
      </w:r>
      <w:proofErr w:type="spellStart"/>
      <w:r w:rsidR="0016037C">
        <w:t>Stifler</w:t>
      </w:r>
      <w:r w:rsidR="0079533A">
        <w:t>s</w:t>
      </w:r>
      <w:proofErr w:type="spellEnd"/>
      <w:r>
        <w:t xml:space="preserve"> is 0.  We see large arrows points towards an increase in </w:t>
      </w:r>
      <w:proofErr w:type="spellStart"/>
      <w:r w:rsidR="0016037C">
        <w:t>Stifler</w:t>
      </w:r>
      <w:r w:rsidR="0079533A">
        <w:t>s</w:t>
      </w:r>
      <w:proofErr w:type="spellEnd"/>
      <w:r>
        <w:t xml:space="preserve"> when there are both a large number of </w:t>
      </w:r>
      <w:proofErr w:type="spellStart"/>
      <w:r w:rsidR="0016037C">
        <w:t>Stifler</w:t>
      </w:r>
      <w:r w:rsidR="0079533A">
        <w:t>s</w:t>
      </w:r>
      <w:proofErr w:type="spellEnd"/>
      <w:r>
        <w:t xml:space="preserve"> and </w:t>
      </w:r>
      <w:proofErr w:type="spellStart"/>
      <w:r w:rsidR="0016037C">
        <w:t>Ignorant</w:t>
      </w:r>
      <w:r w:rsidR="0079533A">
        <w:t>s</w:t>
      </w:r>
      <w:proofErr w:type="spellEnd"/>
      <w:r>
        <w:t xml:space="preserve">,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 xml:space="preserve">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w:t>
      </w:r>
      <w:r w:rsidR="0016037C">
        <w:t>Spreader</w:t>
      </w:r>
      <w:r w:rsidR="0079533A">
        <w:t>s</w:t>
      </w:r>
      <w:r w:rsidRPr="00986779">
        <w:t xml:space="preserve">, </w:t>
      </w:r>
      <w:proofErr w:type="spellStart"/>
      <w:r w:rsidR="0016037C">
        <w:t>Ignorant</w:t>
      </w:r>
      <w:r w:rsidR="0079533A">
        <w:t>s</w:t>
      </w:r>
      <w:proofErr w:type="spellEnd"/>
      <w:r w:rsidRPr="00986779">
        <w:t xml:space="preserve">, and </w:t>
      </w:r>
      <w:proofErr w:type="spellStart"/>
      <w:r w:rsidR="0016037C">
        <w:t>Stifler</w:t>
      </w:r>
      <w:r w:rsidR="0079533A">
        <w:t>s</w:t>
      </w:r>
      <w:proofErr w:type="spellEnd"/>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w:t>
      </w:r>
      <w:proofErr w:type="spellStart"/>
      <w:r w:rsidRPr="00986779">
        <w:t>Mashable</w:t>
      </w:r>
      <w:proofErr w:type="spellEnd"/>
      <w:r w:rsidRPr="00986779">
        <w:t xml:space="preserve">. This way we could make our </w:t>
      </w:r>
      <w:proofErr w:type="spellStart"/>
      <w:r w:rsidRPr="00986779">
        <w:t>contactFraction</w:t>
      </w:r>
      <w:proofErr w:type="spellEnd"/>
      <w:r w:rsidRPr="00986779">
        <w:t xml:space="preserve">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 xml:space="preserve">the graph.  For a given ID, the graph is formed by connecting the node with the given ID to all nodes in its friends list, and </w:t>
      </w:r>
      <w:proofErr w:type="spellStart"/>
      <w:r w:rsidRPr="0006435E">
        <w:t>recursing</w:t>
      </w:r>
      <w:proofErr w:type="spellEnd"/>
      <w:r w:rsidRPr="0006435E">
        <w:t xml:space="preserve">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w:t>
      </w:r>
      <w:r w:rsidR="0016037C">
        <w:t>Spreader</w:t>
      </w:r>
      <w:r w:rsidR="0079533A">
        <w:t>s</w:t>
      </w:r>
      <w:r w:rsidRPr="00F758AA">
        <w:t xml:space="preserve"> in accordance with the provided value for the number of initial </w:t>
      </w:r>
      <w:r w:rsidR="0016037C">
        <w:t>Spreader</w:t>
      </w:r>
      <w:r w:rsidR="0079533A">
        <w:t>s</w:t>
      </w:r>
      <w:r w:rsidRPr="00F758AA">
        <w:t xml:space="preserve">. It then partitions the nodes into three distinct sets of </w:t>
      </w:r>
      <w:proofErr w:type="spellStart"/>
      <w:r w:rsidR="0016037C">
        <w:t>Ignorant</w:t>
      </w:r>
      <w:r w:rsidR="0079533A">
        <w:t>s</w:t>
      </w:r>
      <w:proofErr w:type="spellEnd"/>
      <w:r w:rsidRPr="00F758AA">
        <w:t xml:space="preserve">, </w:t>
      </w:r>
      <w:r w:rsidR="0016037C">
        <w:t>Spreader</w:t>
      </w:r>
      <w:r w:rsidR="0079533A">
        <w:t>s</w:t>
      </w:r>
      <w:r w:rsidRPr="00F758AA">
        <w:t xml:space="preserve">, and </w:t>
      </w:r>
      <w:proofErr w:type="spellStart"/>
      <w:r w:rsidR="0016037C">
        <w:t>Stifler</w:t>
      </w:r>
      <w:r w:rsidR="0079533A">
        <w:t>s</w:t>
      </w:r>
      <w:proofErr w:type="spellEnd"/>
      <w:r w:rsidRPr="00F758AA">
        <w:t>. Initially, all non-</w:t>
      </w:r>
      <w:r w:rsidR="0016037C">
        <w:t>Spreader</w:t>
      </w:r>
      <w:r w:rsidR="0079533A">
        <w:t>s</w:t>
      </w:r>
      <w:r w:rsidRPr="00F758AA">
        <w:t xml:space="preserve"> are </w:t>
      </w:r>
      <w:proofErr w:type="spellStart"/>
      <w:r w:rsidR="0016037C">
        <w:t>Ignorant</w:t>
      </w:r>
      <w:r w:rsidR="0079533A">
        <w:t>s</w:t>
      </w:r>
      <w:proofErr w:type="spellEnd"/>
      <w:r w:rsidRPr="00F758AA">
        <w:t xml:space="preserve">. We then define a function run, which does all the work for a single time step - we chose each time step to represent one hour. Specifically, run will increment the time value, and for each </w:t>
      </w:r>
      <w:r w:rsidR="0016037C">
        <w:t>Spreader</w:t>
      </w:r>
      <w:r w:rsidRPr="00F758AA">
        <w:t xml:space="preserve"> already in the </w:t>
      </w:r>
      <w:r w:rsidR="0016037C">
        <w:t>Spreader</w:t>
      </w:r>
      <w:r w:rsidRPr="00F758AA">
        <w:t xml:space="preserve"> set, it will determine which nodes to spread to, whether it is stifled by an interaction, and whether it spontaneously is stifled. For spreading and stifling, each </w:t>
      </w:r>
      <w:r w:rsidR="0016037C">
        <w:t>Spreader</w:t>
      </w:r>
      <w:r w:rsidRPr="00F758AA">
        <w:t xml:space="preserve"> considers each friend in a group of “contacted friends” which is random subset of a node’s friends of size determined by the contact fraction parameter. Each model will call run exactly 48 times to represent a two day lifespan of a rumor, and reports the counts of </w:t>
      </w:r>
      <w:proofErr w:type="spellStart"/>
      <w:r w:rsidR="0016037C">
        <w:t>Ignorant</w:t>
      </w:r>
      <w:r w:rsidR="0079533A">
        <w:t>s</w:t>
      </w:r>
      <w:proofErr w:type="spellEnd"/>
      <w:r w:rsidRPr="00F758AA">
        <w:t xml:space="preserve">, </w:t>
      </w:r>
      <w:r w:rsidR="0016037C">
        <w:t>Spreader</w:t>
      </w:r>
      <w:r w:rsidR="0079533A">
        <w:t>s</w:t>
      </w:r>
      <w:r w:rsidRPr="00F758AA">
        <w:t xml:space="preserve">, and </w:t>
      </w:r>
      <w:proofErr w:type="spellStart"/>
      <w:r w:rsidR="0016037C">
        <w:t>Stifler</w:t>
      </w:r>
      <w:r w:rsidR="0079533A">
        <w:t>s</w:t>
      </w:r>
      <w:proofErr w:type="spellEnd"/>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non-</w:t>
      </w:r>
      <w:r w:rsidR="0016037C">
        <w:t>Ignorant</w:t>
      </w:r>
      <w:r w:rsidR="00A57511">
        <w:t xml:space="preserve"> </w:t>
      </w:r>
      <w:r w:rsidR="0034040A">
        <w:t xml:space="preserve">population </w:t>
      </w:r>
      <w:r w:rsidR="00431E44">
        <w:t>(</w:t>
      </w:r>
      <w:r w:rsidR="0016037C">
        <w:t>Spreader</w:t>
      </w:r>
      <w:r w:rsidR="0079533A">
        <w:t>s</w:t>
      </w:r>
      <w:r w:rsidR="00431E44">
        <w:t xml:space="preserve"> and </w:t>
      </w:r>
      <w:proofErr w:type="spellStart"/>
      <w:r w:rsidR="0016037C">
        <w:t>Stifler</w:t>
      </w:r>
      <w:r w:rsidR="0079533A">
        <w:t>s</w:t>
      </w:r>
      <w:proofErr w:type="spellEnd"/>
      <w:r w:rsidR="00431E44">
        <w:t xml:space="preserve">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proofErr w:type="gramStart"/>
      <w:r w:rsidRPr="00270D25">
        <w:t>graph</w:t>
      </w:r>
      <w:proofErr w:type="gramEnd"/>
      <w:r w:rsidRPr="00270D25">
        <w:t>: This is a collection of nodes and edges that represent a social network.</w:t>
      </w:r>
    </w:p>
    <w:p w:rsidR="00270D25" w:rsidRPr="00270D25" w:rsidRDefault="00270D25" w:rsidP="00986779">
      <w:pPr>
        <w:pStyle w:val="ListParagraph"/>
        <w:numPr>
          <w:ilvl w:val="0"/>
          <w:numId w:val="2"/>
        </w:numPr>
      </w:pPr>
      <w:proofErr w:type="spellStart"/>
      <w:proofErr w:type="gramStart"/>
      <w:r w:rsidRPr="00270D25">
        <w:t>spreadChance</w:t>
      </w:r>
      <w:proofErr w:type="spellEnd"/>
      <w:proofErr w:type="gramEnd"/>
      <w:r w:rsidRPr="00270D25">
        <w:t xml:space="preserve">: This is the chance that an interaction between a </w:t>
      </w:r>
      <w:r w:rsidR="0016037C">
        <w:t>Spreader</w:t>
      </w:r>
      <w:r w:rsidRPr="00270D25">
        <w:t xml:space="preserve"> and an </w:t>
      </w:r>
      <w:r w:rsidR="0016037C">
        <w:t>Ignorant</w:t>
      </w:r>
      <w:r w:rsidRPr="00270D25">
        <w:t xml:space="preserve"> will result in the </w:t>
      </w:r>
      <w:r w:rsidR="0016037C">
        <w:t>Ignorant</w:t>
      </w:r>
      <w:r w:rsidRPr="00270D25">
        <w:t xml:space="preserve"> becoming a </w:t>
      </w:r>
      <w:r w:rsidR="0016037C">
        <w:t>Spreader</w:t>
      </w:r>
      <w:r w:rsidRPr="00270D25">
        <w:t>.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proofErr w:type="spellStart"/>
      <w:proofErr w:type="gramStart"/>
      <w:r w:rsidRPr="00270D25">
        <w:t>stifleChance</w:t>
      </w:r>
      <w:proofErr w:type="spellEnd"/>
      <w:proofErr w:type="gramEnd"/>
      <w:r w:rsidRPr="00270D25">
        <w:t xml:space="preserve">: This is the chance that an interaction between a </w:t>
      </w:r>
      <w:r w:rsidR="0016037C">
        <w:t>Spreader</w:t>
      </w:r>
      <w:r w:rsidRPr="00270D25">
        <w:t xml:space="preserve"> and a non-</w:t>
      </w:r>
      <w:r w:rsidR="0016037C">
        <w:t>Ignorant</w:t>
      </w:r>
      <w:r w:rsidRPr="00270D25">
        <w:t xml:space="preserve"> will result in the </w:t>
      </w:r>
      <w:r w:rsidR="0016037C">
        <w:t>Spreader</w:t>
      </w:r>
      <w:r w:rsidRPr="00270D25">
        <w:t xml:space="preserve"> becoming a </w:t>
      </w:r>
      <w:proofErr w:type="spellStart"/>
      <w:r w:rsidR="0016037C">
        <w:t>Stifler</w:t>
      </w:r>
      <w:proofErr w:type="spellEnd"/>
      <w:r w:rsidRPr="00270D25">
        <w:t xml:space="preserve">. This value is also highly dependent on the actual rumor rather than just the users in the network. For example, rumors that are known to be false by some </w:t>
      </w:r>
      <w:proofErr w:type="spellStart"/>
      <w:r w:rsidR="0016037C">
        <w:t>Stifler</w:t>
      </w:r>
      <w:r w:rsidR="0079533A">
        <w:t>s</w:t>
      </w:r>
      <w:proofErr w:type="spellEnd"/>
      <w:r w:rsidRPr="00270D25">
        <w:t xml:space="preserve"> will have a high </w:t>
      </w:r>
      <w:proofErr w:type="spellStart"/>
      <w:r w:rsidRPr="00270D25">
        <w:t>stifleChance</w:t>
      </w:r>
      <w:proofErr w:type="spellEnd"/>
      <w:r w:rsidRPr="00270D25">
        <w:t>.</w:t>
      </w:r>
    </w:p>
    <w:p w:rsidR="00270D25" w:rsidRPr="00270D25" w:rsidRDefault="00270D25" w:rsidP="00986779">
      <w:pPr>
        <w:pStyle w:val="ListParagraph"/>
        <w:numPr>
          <w:ilvl w:val="0"/>
          <w:numId w:val="2"/>
        </w:numPr>
      </w:pPr>
      <w:proofErr w:type="spellStart"/>
      <w:proofErr w:type="gramStart"/>
      <w:r w:rsidRPr="00270D25">
        <w:t>num</w:t>
      </w:r>
      <w:r w:rsidR="0016037C">
        <w:t>Spreader</w:t>
      </w:r>
      <w:r w:rsidR="0079533A">
        <w:t>s</w:t>
      </w:r>
      <w:proofErr w:type="spellEnd"/>
      <w:proofErr w:type="gramEnd"/>
      <w:r w:rsidRPr="00270D25">
        <w:t xml:space="preserve">: This is the initial number of </w:t>
      </w:r>
      <w:r w:rsidR="0016037C">
        <w:t>Spreader</w:t>
      </w:r>
      <w:r w:rsidR="0079533A">
        <w:t>s</w:t>
      </w:r>
      <w:r w:rsidRPr="00270D25">
        <w:t xml:space="preserve"> in the network.</w:t>
      </w:r>
    </w:p>
    <w:p w:rsidR="00270D25" w:rsidRPr="00270D25" w:rsidRDefault="00270D25" w:rsidP="00986779">
      <w:pPr>
        <w:pStyle w:val="ListParagraph"/>
        <w:numPr>
          <w:ilvl w:val="0"/>
          <w:numId w:val="2"/>
        </w:numPr>
      </w:pPr>
      <w:proofErr w:type="spellStart"/>
      <w:proofErr w:type="gramStart"/>
      <w:r w:rsidRPr="00270D25">
        <w:t>contactFraction</w:t>
      </w:r>
      <w:proofErr w:type="spellEnd"/>
      <w:proofErr w:type="gramEnd"/>
      <w:r w:rsidRPr="00270D25">
        <w:t xml:space="preserve">: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w:t>
      </w:r>
      <w:proofErr w:type="spellStart"/>
      <w:r w:rsidRPr="00270D25">
        <w:t>Mashable</w:t>
      </w:r>
      <w:proofErr w:type="spellEnd"/>
      <w:r w:rsidRPr="00270D25">
        <w:t xml:space="preserve">. </w:t>
      </w:r>
    </w:p>
    <w:p w:rsidR="00270D25" w:rsidRPr="00270D25" w:rsidRDefault="00270D25" w:rsidP="00986779">
      <w:pPr>
        <w:pStyle w:val="ListParagraph"/>
        <w:numPr>
          <w:ilvl w:val="0"/>
          <w:numId w:val="2"/>
        </w:numPr>
      </w:pPr>
      <w:proofErr w:type="spellStart"/>
      <w:proofErr w:type="gramStart"/>
      <w:r w:rsidRPr="00270D25">
        <w:t>spontaneousStifleChance</w:t>
      </w:r>
      <w:proofErr w:type="spellEnd"/>
      <w:proofErr w:type="gramEnd"/>
      <w:r w:rsidRPr="00270D25">
        <w:t xml:space="preserve">: This is the chance that a </w:t>
      </w:r>
      <w:r w:rsidR="0016037C">
        <w:t>Spreader</w:t>
      </w:r>
      <w:r w:rsidRPr="00270D25">
        <w:t xml:space="preserve"> will spontaneously become a </w:t>
      </w:r>
      <w:proofErr w:type="spellStart"/>
      <w:r w:rsidR="0016037C">
        <w:t>Stifler</w:t>
      </w:r>
      <w:proofErr w:type="spellEnd"/>
      <w:r w:rsidRPr="00270D25">
        <w:t xml:space="preserve"> in a given hour. The reciprocal of this value is the expected duration of a node’s </w:t>
      </w:r>
      <w:r w:rsidR="0016037C">
        <w:t>Spreader</w:t>
      </w:r>
      <w:r w:rsidRPr="00270D25">
        <w:t xml:space="preserve"> lifetime if the </w:t>
      </w:r>
      <w:r w:rsidR="0016037C">
        <w:t>Spreader</w:t>
      </w:r>
      <w:r w:rsidRPr="00270D25">
        <w:t xml:space="preserve"> has no interactions with other nodes. In Model 1, this value was just zero, so </w:t>
      </w:r>
      <w:r w:rsidR="0016037C">
        <w:t>Spreader</w:t>
      </w:r>
      <w:r w:rsidR="0079533A">
        <w:t>s</w:t>
      </w:r>
      <w:r w:rsidRPr="00270D25">
        <w:t xml:space="preserve"> would remain </w:t>
      </w:r>
      <w:r w:rsidR="0016037C">
        <w:t>Spreader</w:t>
      </w:r>
      <w:r w:rsidR="0079533A">
        <w:t>s</w:t>
      </w:r>
      <w:r w:rsidRPr="00270D25">
        <w:t xml:space="preserve"> forever if they had no interactions.</w:t>
      </w:r>
    </w:p>
    <w:p w:rsidR="00270D25" w:rsidRPr="00270D25" w:rsidRDefault="00270D25" w:rsidP="00986779">
      <w:r>
        <w:t xml:space="preserve">It is worth noting that </w:t>
      </w:r>
      <w:proofErr w:type="spellStart"/>
      <w:r>
        <w:t>spreadChance</w:t>
      </w:r>
      <w:proofErr w:type="spellEnd"/>
      <w:r>
        <w:t xml:space="preserve">, </w:t>
      </w:r>
      <w:proofErr w:type="spellStart"/>
      <w:r>
        <w:t>stifleChance</w:t>
      </w:r>
      <w:proofErr w:type="spellEnd"/>
      <w:r>
        <w:t xml:space="preserve">, and </w:t>
      </w:r>
      <w:proofErr w:type="spellStart"/>
      <w:r>
        <w:t>spontaneousStifleChance</w:t>
      </w:r>
      <w:proofErr w:type="spellEnd"/>
      <w:r>
        <w:t xml:space="preserve"> are dependent upon a specific rumor, but </w:t>
      </w:r>
      <w:proofErr w:type="spellStart"/>
      <w:r>
        <w:t>contactFraction</w:t>
      </w:r>
      <w:proofErr w:type="spellEnd"/>
      <w:r>
        <w:t xml:space="preserve"> is an attribute of a given network. Obviously in reality, each of the users in a given network won’t have the same </w:t>
      </w:r>
      <w:proofErr w:type="spellStart"/>
      <w:r>
        <w:t>contactFraction</w:t>
      </w:r>
      <w:proofErr w:type="spellEnd"/>
      <w:r>
        <w:t xml:space="preserve">, but we chose to model it this way for simplicity. Also </w:t>
      </w:r>
      <w:proofErr w:type="spellStart"/>
      <w:r>
        <w:t>num</w:t>
      </w:r>
      <w:r w:rsidR="0016037C">
        <w:t>Spreader</w:t>
      </w:r>
      <w:r w:rsidR="0079533A">
        <w:t>s</w:t>
      </w:r>
      <w:proofErr w:type="spellEnd"/>
      <w:r>
        <w:t xml:space="preserve">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 xml:space="preserve">Initial Number of </w:t>
            </w:r>
            <w:r w:rsidR="0016037C">
              <w:rPr>
                <w:b/>
              </w:rPr>
              <w:t>Spreader</w:t>
            </w:r>
            <w:r w:rsidR="0079533A">
              <w:rPr>
                <w:b/>
              </w:rPr>
              <w:t>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Below is a chart of specific observations for selected graphs. These findings aided in our decision on which parameter values to consider in our actual simulations</w:t>
      </w:r>
      <w:r w:rsidR="0074758D">
        <w:t xml:space="preserve"> that we would later conduct</w:t>
      </w:r>
      <w:r>
        <w:t>.</w:t>
      </w:r>
      <w:r w:rsidR="00DC0DD7">
        <w:t xml:space="preserve"> The graph numbers refer to the plots attached in Appendix A. The parameters chosen to produce each of these plots may be found in the titles of each plot.</w:t>
      </w:r>
      <w:r w:rsidR="00206D57">
        <w:t xml:space="preserve"> </w:t>
      </w:r>
      <w:r w:rsidR="00DC0DD7">
        <w:t>The yield percentage refers to the percentage of the population that ends up as non-</w:t>
      </w:r>
      <w:proofErr w:type="spellStart"/>
      <w:r w:rsidR="0016037C">
        <w:t>Ignorant</w:t>
      </w:r>
      <w:r w:rsidR="0079533A">
        <w:t>s</w:t>
      </w:r>
      <w:proofErr w:type="spellEnd"/>
      <w:r w:rsidR="00DC0DD7">
        <w:t xml:space="preserve">. The peak </w:t>
      </w:r>
      <w:r w:rsidR="0016037C">
        <w:t>Spreader</w:t>
      </w:r>
      <w:r w:rsidR="00DC0DD7">
        <w:t xml:space="preserve"> percentage refers to the maximum percentage of the population that was </w:t>
      </w:r>
      <w:r w:rsidR="0016037C">
        <w:t>Spreader</w:t>
      </w:r>
      <w:r w:rsidR="0079533A">
        <w:t>s</w:t>
      </w:r>
      <w:r w:rsidR="00DC0DD7">
        <w:t xml:space="preserve">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Stifler</w:t>
            </w:r>
            <w:r w:rsidR="0079533A">
              <w:t>s</w:t>
            </w:r>
            <w:proofErr w:type="spellEnd"/>
            <w:r w:rsidR="00121989" w:rsidRPr="00121989">
              <w:t xml:space="preserve"> stabilize at 60%, while </w:t>
            </w:r>
            <w:proofErr w:type="spellStart"/>
            <w:r>
              <w:t>Ignorant</w:t>
            </w:r>
            <w:r w:rsidR="0079533A">
              <w:t>s</w:t>
            </w:r>
            <w:proofErr w:type="spellEnd"/>
            <w:r w:rsidR="00121989" w:rsidRPr="00121989">
              <w:t xml:space="preserve">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Stifler</w:t>
            </w:r>
            <w:r w:rsidR="0079533A">
              <w:t>s</w:t>
            </w:r>
            <w:proofErr w:type="spellEnd"/>
            <w:r w:rsidR="00121989" w:rsidRPr="00121989">
              <w:t xml:space="preserve">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proofErr w:type="spellStart"/>
            <w:r>
              <w:t>Ignorant</w:t>
            </w:r>
            <w:r w:rsidR="0079533A">
              <w:t>s</w:t>
            </w:r>
            <w:proofErr w:type="spellEnd"/>
            <w:r w:rsidR="00121989" w:rsidRPr="00121989">
              <w:t xml:space="preserve"> stabilize around 70%, stay higher than </w:t>
            </w:r>
            <w:proofErr w:type="spellStart"/>
            <w:r>
              <w:t>Stifler</w:t>
            </w:r>
            <w:r w:rsidR="0079533A">
              <w:t>s</w:t>
            </w:r>
            <w:proofErr w:type="spellEnd"/>
            <w:r w:rsidR="00121989" w:rsidRPr="00121989">
              <w:t xml:space="preserve">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Almost identical to graph 6. Only change in parameters is </w:t>
            </w:r>
            <w:proofErr w:type="spellStart"/>
            <w:r w:rsidRPr="00121989">
              <w:t>NumSP</w:t>
            </w:r>
            <w:proofErr w:type="spellEnd"/>
            <w:r w:rsidRPr="00121989">
              <w: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to graph 6, but with slightly lower yield. </w:t>
            </w:r>
            <w:proofErr w:type="spellStart"/>
            <w:r w:rsidRPr="00121989">
              <w:t>StCh</w:t>
            </w:r>
            <w:proofErr w:type="spellEnd"/>
            <w:r w:rsidRPr="00121989">
              <w:t xml:space="preserve">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behavior despite initial </w:t>
            </w:r>
            <w:proofErr w:type="spellStart"/>
            <w:r w:rsidRPr="00121989">
              <w:t>speaders</w:t>
            </w:r>
            <w:proofErr w:type="spellEnd"/>
            <w:r w:rsidRPr="00121989">
              <w:t xml:space="preserve">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w:t>
            </w:r>
            <w:r w:rsidR="0016037C">
              <w:t>Ignorant</w:t>
            </w:r>
            <w:r w:rsidRPr="00121989">
              <w:t xml:space="preserve">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lastRenderedPageBreak/>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Spreader</w:t>
            </w:r>
            <w:r w:rsidR="0079533A">
              <w:t>s</w:t>
            </w:r>
            <w:r w:rsidR="00121989" w:rsidRPr="00121989">
              <w:t xml:space="preserve">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 xml:space="preserve">The data from Graph 0 gave us good insight into the effects of our parameters.  We observed that Spread Chance has a very large impact on the peak rumor size and overall shape of the simulation. Number of </w:t>
      </w:r>
      <w:r w:rsidR="0016037C">
        <w:t>Spreader</w:t>
      </w:r>
      <w:r w:rsidR="0079533A">
        <w:t>s</w:t>
      </w:r>
      <w:r w:rsidRPr="00F36A10">
        <w:t xml:space="preserve">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w:t>
      </w:r>
      <w:r w:rsidR="0016037C">
        <w:t>Spreader</w:t>
      </w:r>
      <w:r w:rsidR="0079533A">
        <w:t>s</w:t>
      </w:r>
      <w:r w:rsidRPr="00F36A10">
        <w:t xml:space="preserve">, yield percentage, and time.  This makes sense as a high contact fraction on a sparse network is </w:t>
      </w:r>
      <w:r w:rsidR="00B12FCC">
        <w:t xml:space="preserve">somewhat </w:t>
      </w:r>
      <w:r w:rsidRPr="00F36A10">
        <w:t xml:space="preserve">“equivalent” to a low contact fraction on a very dense network.  Spontaneous Stifle Chance should not affect peak or yield percentage, except for values very close to 1.0.  This is because the reciprocal of the stifle chance represents the expected lifespan of a </w:t>
      </w:r>
      <w:r w:rsidR="0016037C">
        <w:t>Spreader</w:t>
      </w:r>
      <w:r w:rsidRPr="00F36A10">
        <w:t xml:space="preserve"> that has no interactions; for realistic values, this is not a bottleneck.  However, increasing the spontaneous stifle chance does decrease the time it takes for there to be no more </w:t>
      </w:r>
      <w:r w:rsidR="0016037C">
        <w:t>Spreader</w:t>
      </w:r>
      <w:r w:rsidR="0079533A">
        <w:t>s</w:t>
      </w:r>
      <w:r w:rsidRPr="00F36A10">
        <w:t xml:space="preserve">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 xml:space="preserve">Initial Number of </w:t>
            </w:r>
            <w:r w:rsidR="0016037C">
              <w:rPr>
                <w:b/>
              </w:rPr>
              <w:t>Spreader</w:t>
            </w:r>
            <w:r w:rsidR="0079533A">
              <w:rPr>
                <w:b/>
              </w:rPr>
              <w:t>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lastRenderedPageBreak/>
        <w:t xml:space="preserve">Results of </w:t>
      </w:r>
      <w:r w:rsidR="00CD2233">
        <w:t>Actual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D56AF9" w:rsidP="00986779">
      <w:r>
        <w:t>With such a large resulting table of data, it is difficult to see trends that give meaningful insight into the difference in behavior in the various sizes and densities of the networks we considered. We wanted to determine if there is any similar or divergent behavior in the various networks. Using Excel, we were able to produce the following graphs to consider each of our dependent variables individually.</w:t>
      </w:r>
    </w:p>
    <w:p w:rsidR="00D56AF9" w:rsidRDefault="00C72E93" w:rsidP="00C72E93">
      <w:pPr>
        <w:jc w:val="center"/>
      </w:pPr>
      <w:r>
        <w:rPr>
          <w:noProof/>
        </w:rPr>
        <w:drawing>
          <wp:inline distT="0" distB="0" distL="0" distR="0" wp14:anchorId="7BBC0F37" wp14:editId="441113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144C" w:rsidRDefault="0070144C" w:rsidP="0070144C">
      <w:r w:rsidRPr="0070144C">
        <w:t>Admittedly, the above graph is the least telling of the three. The trend lines do not seem to follow any patterns, and this is likely due to the fact that there are so few possible discrete values for the time measurement. In addition, since time was human measured rather than calculated, human error may be obscuring a pattern that does exist. Regardless, the following two graphs are more interesting.</w:t>
      </w:r>
    </w:p>
    <w:p w:rsidR="00C72E93" w:rsidRDefault="00C72E93" w:rsidP="00C72E93">
      <w:pPr>
        <w:jc w:val="center"/>
      </w:pPr>
      <w:r>
        <w:rPr>
          <w:noProof/>
        </w:rPr>
        <w:lastRenderedPageBreak/>
        <w:drawing>
          <wp:inline distT="0" distB="0" distL="0" distR="0" wp14:anchorId="1E567D76" wp14:editId="66EC401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144C" w:rsidRDefault="0070144C" w:rsidP="0070144C">
      <w:r w:rsidRPr="0070144C">
        <w:t xml:space="preserve">This graph is interesting because the three trend lines almost never intersect each other. This means that the SHD Yield % is consistently less than the LLD Yield % which is consistently less than the LHD Yield %. It makes sense that the large high density network would have the greatest yield because nodes would have more opportunities to spread rumors to neighboring nodes in these graphs. It is curious that the SHD network almost consistently has a lower Yield % than the LLD despite being a high density network. A possible explanation might be that density does not necessarily cause greater yield; it only aids in the quick spread of a rumor. Meanwhile large networks allow for more nodes to be </w:t>
      </w:r>
      <w:r w:rsidR="0016037C">
        <w:t>Spreader</w:t>
      </w:r>
      <w:r w:rsidR="0079533A">
        <w:t>s</w:t>
      </w:r>
      <w:r w:rsidRPr="0070144C">
        <w:t>, allowing the rumors to have longer lifetimes, leading to greater yields.</w:t>
      </w:r>
    </w:p>
    <w:p w:rsidR="00EA3A95" w:rsidRDefault="00C72E93" w:rsidP="0070144C">
      <w:pPr>
        <w:jc w:val="center"/>
      </w:pPr>
      <w:r>
        <w:rPr>
          <w:noProof/>
        </w:rPr>
        <w:drawing>
          <wp:inline distT="0" distB="0" distL="0" distR="0" wp14:anchorId="19F1872F" wp14:editId="484012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44C" w:rsidRPr="00EA3A95" w:rsidRDefault="00A76919" w:rsidP="0070144C">
      <w:r w:rsidRPr="00A76919">
        <w:t xml:space="preserve">Except for graphs 9 through 16, these lines almost overlap, which leads us to conclude that peak spread percentage and overall yield do not necessarily correlate, since the trend lines on the previous graph on </w:t>
      </w:r>
      <w:r w:rsidRPr="00A76919">
        <w:lastRenderedPageBreak/>
        <w:t xml:space="preserve">Yield % did not overlap. A possible explanation may be that different stifling rates allow the same peaks to be descended at different rates, but along the way, more </w:t>
      </w:r>
      <w:r w:rsidR="0016037C">
        <w:t>Spreader</w:t>
      </w:r>
      <w:r w:rsidR="0079533A">
        <w:t>s</w:t>
      </w:r>
      <w:r w:rsidRPr="00A76919">
        <w:t xml:space="preserve"> may be introduced. Therefore, even though all networks may show similar peak </w:t>
      </w:r>
      <w:r w:rsidR="0016037C">
        <w:t>Spreader</w:t>
      </w:r>
      <w:r w:rsidRPr="00A76919">
        <w:t xml:space="preserve"> percentage behavior, they will still have different over yields of non-</w:t>
      </w:r>
      <w:proofErr w:type="spellStart"/>
      <w:r w:rsidR="0016037C">
        <w:t>Ignorant</w:t>
      </w:r>
      <w:r w:rsidR="0079533A">
        <w:t>s</w:t>
      </w:r>
      <w:proofErr w:type="spellEnd"/>
      <w:r w:rsidRPr="00A76919">
        <w:t xml:space="preserve"> due to differences in the size and density of the networks.</w:t>
      </w:r>
    </w:p>
    <w:sectPr w:rsidR="0070144C"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21989"/>
    <w:rsid w:val="00133198"/>
    <w:rsid w:val="001543EF"/>
    <w:rsid w:val="0016037C"/>
    <w:rsid w:val="001A79F3"/>
    <w:rsid w:val="001D4010"/>
    <w:rsid w:val="00206D57"/>
    <w:rsid w:val="002133DE"/>
    <w:rsid w:val="002548EB"/>
    <w:rsid w:val="0025652B"/>
    <w:rsid w:val="00270D25"/>
    <w:rsid w:val="00274D1B"/>
    <w:rsid w:val="00313A44"/>
    <w:rsid w:val="00336612"/>
    <w:rsid w:val="0034040A"/>
    <w:rsid w:val="003C3142"/>
    <w:rsid w:val="003D6302"/>
    <w:rsid w:val="003E0E36"/>
    <w:rsid w:val="003F2FA8"/>
    <w:rsid w:val="003F3018"/>
    <w:rsid w:val="00416E88"/>
    <w:rsid w:val="00431E44"/>
    <w:rsid w:val="004639B2"/>
    <w:rsid w:val="004F720F"/>
    <w:rsid w:val="005918FA"/>
    <w:rsid w:val="005B7636"/>
    <w:rsid w:val="005C7B9A"/>
    <w:rsid w:val="00602417"/>
    <w:rsid w:val="0063370A"/>
    <w:rsid w:val="006349F9"/>
    <w:rsid w:val="006876DB"/>
    <w:rsid w:val="0070144C"/>
    <w:rsid w:val="00730640"/>
    <w:rsid w:val="0074758D"/>
    <w:rsid w:val="00754442"/>
    <w:rsid w:val="00793BB5"/>
    <w:rsid w:val="0079533A"/>
    <w:rsid w:val="007B34E6"/>
    <w:rsid w:val="007E13CA"/>
    <w:rsid w:val="00821B64"/>
    <w:rsid w:val="0096598A"/>
    <w:rsid w:val="00980206"/>
    <w:rsid w:val="00984351"/>
    <w:rsid w:val="00986779"/>
    <w:rsid w:val="00A57511"/>
    <w:rsid w:val="00A76919"/>
    <w:rsid w:val="00AE3CDC"/>
    <w:rsid w:val="00B05782"/>
    <w:rsid w:val="00B12FCC"/>
    <w:rsid w:val="00B143CB"/>
    <w:rsid w:val="00B40A1E"/>
    <w:rsid w:val="00B662D5"/>
    <w:rsid w:val="00BF5E03"/>
    <w:rsid w:val="00C02DA7"/>
    <w:rsid w:val="00C052D7"/>
    <w:rsid w:val="00C22BE9"/>
    <w:rsid w:val="00C72E93"/>
    <w:rsid w:val="00CB2153"/>
    <w:rsid w:val="00CB35F8"/>
    <w:rsid w:val="00CC130D"/>
    <w:rsid w:val="00CD19DC"/>
    <w:rsid w:val="00CD2233"/>
    <w:rsid w:val="00CF1BE6"/>
    <w:rsid w:val="00D34AD9"/>
    <w:rsid w:val="00D41042"/>
    <w:rsid w:val="00D56AF9"/>
    <w:rsid w:val="00DC0DD7"/>
    <w:rsid w:val="00DD3BF0"/>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Time for</a:t>
            </a:r>
            <a:r>
              <a:rPr lang="en-US" baseline="0"/>
              <a:t>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Time!$B$1</c:f>
              <c:strCache>
                <c:ptCount val="1"/>
                <c:pt idx="0">
                  <c:v>SHD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Time!$B$2:$B$33</c:f>
              <c:numCache>
                <c:formatCode>General</c:formatCode>
                <c:ptCount val="32"/>
                <c:pt idx="0">
                  <c:v>9</c:v>
                </c:pt>
                <c:pt idx="1">
                  <c:v>10</c:v>
                </c:pt>
                <c:pt idx="2">
                  <c:v>12</c:v>
                </c:pt>
                <c:pt idx="3">
                  <c:v>14</c:v>
                </c:pt>
                <c:pt idx="4">
                  <c:v>12</c:v>
                </c:pt>
                <c:pt idx="5">
                  <c:v>8</c:v>
                </c:pt>
                <c:pt idx="6">
                  <c:v>6</c:v>
                </c:pt>
                <c:pt idx="7">
                  <c:v>6</c:v>
                </c:pt>
                <c:pt idx="8">
                  <c:v>2</c:v>
                </c:pt>
                <c:pt idx="9">
                  <c:v>1</c:v>
                </c:pt>
                <c:pt idx="10">
                  <c:v>6</c:v>
                </c:pt>
                <c:pt idx="11">
                  <c:v>8</c:v>
                </c:pt>
                <c:pt idx="12">
                  <c:v>1</c:v>
                </c:pt>
                <c:pt idx="13">
                  <c:v>2</c:v>
                </c:pt>
                <c:pt idx="14">
                  <c:v>3</c:v>
                </c:pt>
                <c:pt idx="15">
                  <c:v>3</c:v>
                </c:pt>
                <c:pt idx="16">
                  <c:v>6</c:v>
                </c:pt>
                <c:pt idx="17">
                  <c:v>6</c:v>
                </c:pt>
                <c:pt idx="18">
                  <c:v>3</c:v>
                </c:pt>
                <c:pt idx="19">
                  <c:v>3</c:v>
                </c:pt>
                <c:pt idx="20">
                  <c:v>6</c:v>
                </c:pt>
                <c:pt idx="21">
                  <c:v>3</c:v>
                </c:pt>
                <c:pt idx="22">
                  <c:v>3</c:v>
                </c:pt>
                <c:pt idx="23">
                  <c:v>2</c:v>
                </c:pt>
                <c:pt idx="24">
                  <c:v>2</c:v>
                </c:pt>
                <c:pt idx="25">
                  <c:v>3</c:v>
                </c:pt>
                <c:pt idx="26">
                  <c:v>3</c:v>
                </c:pt>
                <c:pt idx="27">
                  <c:v>3</c:v>
                </c:pt>
                <c:pt idx="28">
                  <c:v>2</c:v>
                </c:pt>
                <c:pt idx="29">
                  <c:v>1</c:v>
                </c:pt>
                <c:pt idx="30">
                  <c:v>3</c:v>
                </c:pt>
                <c:pt idx="31">
                  <c:v>2</c:v>
                </c:pt>
              </c:numCache>
            </c:numRef>
          </c:yVal>
          <c:smooth val="1"/>
        </c:ser>
        <c:ser>
          <c:idx val="1"/>
          <c:order val="1"/>
          <c:tx>
            <c:strRef>
              <c:f>Time!$C$1</c:f>
              <c:strCache>
                <c:ptCount val="1"/>
                <c:pt idx="0">
                  <c:v>LLD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Time!$C$2:$C$33</c:f>
              <c:numCache>
                <c:formatCode>General</c:formatCode>
                <c:ptCount val="32"/>
                <c:pt idx="0">
                  <c:v>8</c:v>
                </c:pt>
                <c:pt idx="1">
                  <c:v>6</c:v>
                </c:pt>
                <c:pt idx="2">
                  <c:v>9</c:v>
                </c:pt>
                <c:pt idx="3">
                  <c:v>8</c:v>
                </c:pt>
                <c:pt idx="4">
                  <c:v>9</c:v>
                </c:pt>
                <c:pt idx="5">
                  <c:v>8</c:v>
                </c:pt>
                <c:pt idx="6">
                  <c:v>10</c:v>
                </c:pt>
                <c:pt idx="7">
                  <c:v>6</c:v>
                </c:pt>
                <c:pt idx="8">
                  <c:v>6</c:v>
                </c:pt>
                <c:pt idx="9">
                  <c:v>6</c:v>
                </c:pt>
                <c:pt idx="10">
                  <c:v>8</c:v>
                </c:pt>
                <c:pt idx="11">
                  <c:v>6</c:v>
                </c:pt>
                <c:pt idx="12">
                  <c:v>4</c:v>
                </c:pt>
                <c:pt idx="13">
                  <c:v>5</c:v>
                </c:pt>
                <c:pt idx="14">
                  <c:v>4</c:v>
                </c:pt>
                <c:pt idx="15">
                  <c:v>4</c:v>
                </c:pt>
                <c:pt idx="16">
                  <c:v>2</c:v>
                </c:pt>
                <c:pt idx="17">
                  <c:v>2</c:v>
                </c:pt>
                <c:pt idx="18">
                  <c:v>3</c:v>
                </c:pt>
                <c:pt idx="19">
                  <c:v>2</c:v>
                </c:pt>
                <c:pt idx="20">
                  <c:v>3</c:v>
                </c:pt>
                <c:pt idx="21">
                  <c:v>3</c:v>
                </c:pt>
                <c:pt idx="22">
                  <c:v>2</c:v>
                </c:pt>
                <c:pt idx="23">
                  <c:v>2</c:v>
                </c:pt>
                <c:pt idx="24">
                  <c:v>3</c:v>
                </c:pt>
                <c:pt idx="25">
                  <c:v>3</c:v>
                </c:pt>
                <c:pt idx="26">
                  <c:v>3</c:v>
                </c:pt>
                <c:pt idx="27">
                  <c:v>3</c:v>
                </c:pt>
                <c:pt idx="28">
                  <c:v>3</c:v>
                </c:pt>
                <c:pt idx="29">
                  <c:v>2</c:v>
                </c:pt>
                <c:pt idx="30">
                  <c:v>2</c:v>
                </c:pt>
                <c:pt idx="31">
                  <c:v>2</c:v>
                </c:pt>
              </c:numCache>
            </c:numRef>
          </c:yVal>
          <c:smooth val="1"/>
        </c:ser>
        <c:ser>
          <c:idx val="2"/>
          <c:order val="2"/>
          <c:tx>
            <c:strRef>
              <c:f>Time!$D$1</c:f>
              <c:strCache>
                <c:ptCount val="1"/>
                <c:pt idx="0">
                  <c:v>LHD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Time!$D$2:$D$33</c:f>
              <c:numCache>
                <c:formatCode>General</c:formatCode>
                <c:ptCount val="32"/>
                <c:pt idx="0">
                  <c:v>6</c:v>
                </c:pt>
                <c:pt idx="1">
                  <c:v>6</c:v>
                </c:pt>
                <c:pt idx="2">
                  <c:v>6</c:v>
                </c:pt>
                <c:pt idx="3">
                  <c:v>6</c:v>
                </c:pt>
                <c:pt idx="4">
                  <c:v>6</c:v>
                </c:pt>
                <c:pt idx="5">
                  <c:v>4</c:v>
                </c:pt>
                <c:pt idx="6">
                  <c:v>4</c:v>
                </c:pt>
                <c:pt idx="7">
                  <c:v>5</c:v>
                </c:pt>
                <c:pt idx="8">
                  <c:v>3</c:v>
                </c:pt>
                <c:pt idx="9">
                  <c:v>3</c:v>
                </c:pt>
                <c:pt idx="10">
                  <c:v>4</c:v>
                </c:pt>
                <c:pt idx="11">
                  <c:v>5</c:v>
                </c:pt>
                <c:pt idx="12">
                  <c:v>6</c:v>
                </c:pt>
                <c:pt idx="13">
                  <c:v>4</c:v>
                </c:pt>
                <c:pt idx="14">
                  <c:v>4</c:v>
                </c:pt>
                <c:pt idx="15">
                  <c:v>3</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numCache>
            </c:numRef>
          </c:yVal>
          <c:smooth val="1"/>
        </c:ser>
        <c:dLbls>
          <c:showLegendKey val="0"/>
          <c:showVal val="0"/>
          <c:showCatName val="0"/>
          <c:showSerName val="0"/>
          <c:showPercent val="0"/>
          <c:showBubbleSize val="0"/>
        </c:dLbls>
        <c:axId val="-1324830544"/>
        <c:axId val="-1324838704"/>
      </c:scatterChart>
      <c:valAx>
        <c:axId val="-132483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8704"/>
        <c:crosses val="autoZero"/>
        <c:crossBetween val="midCat"/>
      </c:valAx>
      <c:valAx>
        <c:axId val="-132483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0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Yield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Yield!$B$1</c:f>
              <c:strCache>
                <c:ptCount val="1"/>
                <c:pt idx="0">
                  <c:v>SHD Yield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Yield!$B$2:$B$33</c:f>
              <c:numCache>
                <c:formatCode>General</c:formatCode>
                <c:ptCount val="32"/>
                <c:pt idx="0">
                  <c:v>92</c:v>
                </c:pt>
                <c:pt idx="1">
                  <c:v>24</c:v>
                </c:pt>
                <c:pt idx="2">
                  <c:v>98</c:v>
                </c:pt>
                <c:pt idx="3">
                  <c:v>79</c:v>
                </c:pt>
                <c:pt idx="4">
                  <c:v>88</c:v>
                </c:pt>
                <c:pt idx="5">
                  <c:v>72</c:v>
                </c:pt>
                <c:pt idx="6">
                  <c:v>98</c:v>
                </c:pt>
                <c:pt idx="7">
                  <c:v>93</c:v>
                </c:pt>
                <c:pt idx="8">
                  <c:v>9</c:v>
                </c:pt>
                <c:pt idx="9">
                  <c:v>13</c:v>
                </c:pt>
                <c:pt idx="10">
                  <c:v>42</c:v>
                </c:pt>
                <c:pt idx="11">
                  <c:v>27</c:v>
                </c:pt>
                <c:pt idx="12">
                  <c:v>53</c:v>
                </c:pt>
                <c:pt idx="13">
                  <c:v>52</c:v>
                </c:pt>
                <c:pt idx="14">
                  <c:v>81</c:v>
                </c:pt>
                <c:pt idx="15">
                  <c:v>85</c:v>
                </c:pt>
                <c:pt idx="16">
                  <c:v>98</c:v>
                </c:pt>
                <c:pt idx="17">
                  <c:v>79</c:v>
                </c:pt>
                <c:pt idx="18">
                  <c:v>98</c:v>
                </c:pt>
                <c:pt idx="19">
                  <c:v>98</c:v>
                </c:pt>
                <c:pt idx="20">
                  <c:v>98</c:v>
                </c:pt>
                <c:pt idx="21">
                  <c:v>95</c:v>
                </c:pt>
                <c:pt idx="22">
                  <c:v>98</c:v>
                </c:pt>
                <c:pt idx="23">
                  <c:v>98</c:v>
                </c:pt>
                <c:pt idx="24">
                  <c:v>74</c:v>
                </c:pt>
                <c:pt idx="25">
                  <c:v>69</c:v>
                </c:pt>
                <c:pt idx="26">
                  <c:v>98</c:v>
                </c:pt>
                <c:pt idx="27">
                  <c:v>95</c:v>
                </c:pt>
                <c:pt idx="28">
                  <c:v>85</c:v>
                </c:pt>
                <c:pt idx="29">
                  <c:v>85</c:v>
                </c:pt>
                <c:pt idx="30">
                  <c:v>96</c:v>
                </c:pt>
                <c:pt idx="31">
                  <c:v>96</c:v>
                </c:pt>
              </c:numCache>
            </c:numRef>
          </c:yVal>
          <c:smooth val="1"/>
        </c:ser>
        <c:ser>
          <c:idx val="1"/>
          <c:order val="1"/>
          <c:tx>
            <c:strRef>
              <c:f>Yield!$C$1</c:f>
              <c:strCache>
                <c:ptCount val="1"/>
                <c:pt idx="0">
                  <c:v>LLD  Yield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Yield!$C$2:$C$33</c:f>
              <c:numCache>
                <c:formatCode>General</c:formatCode>
                <c:ptCount val="32"/>
                <c:pt idx="0">
                  <c:v>86</c:v>
                </c:pt>
                <c:pt idx="1">
                  <c:v>72</c:v>
                </c:pt>
                <c:pt idx="2">
                  <c:v>99</c:v>
                </c:pt>
                <c:pt idx="3">
                  <c:v>95</c:v>
                </c:pt>
                <c:pt idx="4">
                  <c:v>95</c:v>
                </c:pt>
                <c:pt idx="5">
                  <c:v>74</c:v>
                </c:pt>
                <c:pt idx="6">
                  <c:v>99</c:v>
                </c:pt>
                <c:pt idx="7">
                  <c:v>93</c:v>
                </c:pt>
                <c:pt idx="8">
                  <c:v>56</c:v>
                </c:pt>
                <c:pt idx="9">
                  <c:v>54</c:v>
                </c:pt>
                <c:pt idx="10">
                  <c:v>68</c:v>
                </c:pt>
                <c:pt idx="11">
                  <c:v>66</c:v>
                </c:pt>
                <c:pt idx="12">
                  <c:v>52</c:v>
                </c:pt>
                <c:pt idx="13">
                  <c:v>52</c:v>
                </c:pt>
                <c:pt idx="14">
                  <c:v>74</c:v>
                </c:pt>
                <c:pt idx="15">
                  <c:v>72</c:v>
                </c:pt>
                <c:pt idx="16">
                  <c:v>97</c:v>
                </c:pt>
                <c:pt idx="17">
                  <c:v>93</c:v>
                </c:pt>
                <c:pt idx="18">
                  <c:v>99</c:v>
                </c:pt>
                <c:pt idx="19">
                  <c:v>100</c:v>
                </c:pt>
                <c:pt idx="20">
                  <c:v>97</c:v>
                </c:pt>
                <c:pt idx="21">
                  <c:v>99</c:v>
                </c:pt>
                <c:pt idx="22">
                  <c:v>100</c:v>
                </c:pt>
                <c:pt idx="23">
                  <c:v>100</c:v>
                </c:pt>
                <c:pt idx="24">
                  <c:v>90</c:v>
                </c:pt>
                <c:pt idx="25">
                  <c:v>88</c:v>
                </c:pt>
                <c:pt idx="26">
                  <c:v>99</c:v>
                </c:pt>
                <c:pt idx="27">
                  <c:v>99</c:v>
                </c:pt>
                <c:pt idx="28">
                  <c:v>88</c:v>
                </c:pt>
                <c:pt idx="29">
                  <c:v>90</c:v>
                </c:pt>
                <c:pt idx="30">
                  <c:v>98</c:v>
                </c:pt>
                <c:pt idx="31">
                  <c:v>98</c:v>
                </c:pt>
              </c:numCache>
            </c:numRef>
          </c:yVal>
          <c:smooth val="1"/>
        </c:ser>
        <c:ser>
          <c:idx val="2"/>
          <c:order val="2"/>
          <c:tx>
            <c:strRef>
              <c:f>Yield!$D$1</c:f>
              <c:strCache>
                <c:ptCount val="1"/>
                <c:pt idx="0">
                  <c:v>LHD Yield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Yield!$D$2:$D$33</c:f>
              <c:numCache>
                <c:formatCode>General</c:formatCode>
                <c:ptCount val="32"/>
                <c:pt idx="0">
                  <c:v>97</c:v>
                </c:pt>
                <c:pt idx="1">
                  <c:v>95</c:v>
                </c:pt>
                <c:pt idx="2">
                  <c:v>100</c:v>
                </c:pt>
                <c:pt idx="3">
                  <c:v>98</c:v>
                </c:pt>
                <c:pt idx="4">
                  <c:v>98</c:v>
                </c:pt>
                <c:pt idx="5">
                  <c:v>94</c:v>
                </c:pt>
                <c:pt idx="6">
                  <c:v>100</c:v>
                </c:pt>
                <c:pt idx="7">
                  <c:v>98</c:v>
                </c:pt>
                <c:pt idx="8">
                  <c:v>85</c:v>
                </c:pt>
                <c:pt idx="9">
                  <c:v>86</c:v>
                </c:pt>
                <c:pt idx="10">
                  <c:v>91</c:v>
                </c:pt>
                <c:pt idx="11">
                  <c:v>89</c:v>
                </c:pt>
                <c:pt idx="12">
                  <c:v>87</c:v>
                </c:pt>
                <c:pt idx="13">
                  <c:v>87</c:v>
                </c:pt>
                <c:pt idx="14">
                  <c:v>89</c:v>
                </c:pt>
                <c:pt idx="15">
                  <c:v>90</c:v>
                </c:pt>
                <c:pt idx="16">
                  <c:v>99</c:v>
                </c:pt>
                <c:pt idx="17">
                  <c:v>100</c:v>
                </c:pt>
                <c:pt idx="18">
                  <c:v>100</c:v>
                </c:pt>
                <c:pt idx="19">
                  <c:v>100</c:v>
                </c:pt>
                <c:pt idx="20">
                  <c:v>98</c:v>
                </c:pt>
                <c:pt idx="21">
                  <c:v>98</c:v>
                </c:pt>
                <c:pt idx="22">
                  <c:v>100</c:v>
                </c:pt>
                <c:pt idx="23">
                  <c:v>100</c:v>
                </c:pt>
                <c:pt idx="24">
                  <c:v>98</c:v>
                </c:pt>
                <c:pt idx="25">
                  <c:v>99</c:v>
                </c:pt>
                <c:pt idx="26">
                  <c:v>100</c:v>
                </c:pt>
                <c:pt idx="27">
                  <c:v>100</c:v>
                </c:pt>
                <c:pt idx="28">
                  <c:v>100</c:v>
                </c:pt>
                <c:pt idx="29">
                  <c:v>97</c:v>
                </c:pt>
                <c:pt idx="30">
                  <c:v>100</c:v>
                </c:pt>
                <c:pt idx="31">
                  <c:v>99</c:v>
                </c:pt>
              </c:numCache>
            </c:numRef>
          </c:yVal>
          <c:smooth val="1"/>
        </c:ser>
        <c:dLbls>
          <c:showLegendKey val="0"/>
          <c:showVal val="0"/>
          <c:showCatName val="0"/>
          <c:showSerName val="0"/>
          <c:showPercent val="0"/>
          <c:showBubbleSize val="0"/>
        </c:dLbls>
        <c:axId val="-1324831088"/>
        <c:axId val="-1324838160"/>
      </c:scatterChart>
      <c:valAx>
        <c:axId val="-132483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8160"/>
        <c:crosses val="autoZero"/>
        <c:crossBetween val="midCat"/>
      </c:valAx>
      <c:valAx>
        <c:axId val="-132483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Peak SP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Peak!$B$1</c:f>
              <c:strCache>
                <c:ptCount val="1"/>
                <c:pt idx="0">
                  <c:v>SHD Peak SP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Peak!$B$2:$B$33</c:f>
              <c:numCache>
                <c:formatCode>General</c:formatCode>
                <c:ptCount val="32"/>
                <c:pt idx="0">
                  <c:v>72</c:v>
                </c:pt>
                <c:pt idx="1">
                  <c:v>17</c:v>
                </c:pt>
                <c:pt idx="2">
                  <c:v>84</c:v>
                </c:pt>
                <c:pt idx="3">
                  <c:v>45</c:v>
                </c:pt>
                <c:pt idx="4">
                  <c:v>83</c:v>
                </c:pt>
                <c:pt idx="5">
                  <c:v>41</c:v>
                </c:pt>
                <c:pt idx="6">
                  <c:v>89</c:v>
                </c:pt>
                <c:pt idx="7">
                  <c:v>56</c:v>
                </c:pt>
                <c:pt idx="8">
                  <c:v>10</c:v>
                </c:pt>
                <c:pt idx="9">
                  <c:v>10</c:v>
                </c:pt>
                <c:pt idx="10">
                  <c:v>12</c:v>
                </c:pt>
                <c:pt idx="11">
                  <c:v>14</c:v>
                </c:pt>
                <c:pt idx="12">
                  <c:v>47</c:v>
                </c:pt>
                <c:pt idx="13">
                  <c:v>40</c:v>
                </c:pt>
                <c:pt idx="14">
                  <c:v>40</c:v>
                </c:pt>
                <c:pt idx="15">
                  <c:v>40</c:v>
                </c:pt>
                <c:pt idx="16">
                  <c:v>89</c:v>
                </c:pt>
                <c:pt idx="17">
                  <c:v>64</c:v>
                </c:pt>
                <c:pt idx="18">
                  <c:v>97</c:v>
                </c:pt>
                <c:pt idx="19">
                  <c:v>82</c:v>
                </c:pt>
                <c:pt idx="20">
                  <c:v>96</c:v>
                </c:pt>
                <c:pt idx="21">
                  <c:v>73</c:v>
                </c:pt>
                <c:pt idx="22">
                  <c:v>97</c:v>
                </c:pt>
                <c:pt idx="23">
                  <c:v>83</c:v>
                </c:pt>
                <c:pt idx="24">
                  <c:v>67</c:v>
                </c:pt>
                <c:pt idx="25">
                  <c:v>52</c:v>
                </c:pt>
                <c:pt idx="26">
                  <c:v>57</c:v>
                </c:pt>
                <c:pt idx="27">
                  <c:v>53</c:v>
                </c:pt>
                <c:pt idx="28">
                  <c:v>75</c:v>
                </c:pt>
                <c:pt idx="29">
                  <c:v>67</c:v>
                </c:pt>
                <c:pt idx="30">
                  <c:v>67</c:v>
                </c:pt>
                <c:pt idx="31">
                  <c:v>65</c:v>
                </c:pt>
              </c:numCache>
            </c:numRef>
          </c:yVal>
          <c:smooth val="1"/>
        </c:ser>
        <c:ser>
          <c:idx val="1"/>
          <c:order val="1"/>
          <c:tx>
            <c:strRef>
              <c:f>Peak!$C$1</c:f>
              <c:strCache>
                <c:ptCount val="1"/>
                <c:pt idx="0">
                  <c:v>LLD Peak SP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Peak!$C$2:$C$33</c:f>
              <c:numCache>
                <c:formatCode>General</c:formatCode>
                <c:ptCount val="32"/>
                <c:pt idx="0">
                  <c:v>74</c:v>
                </c:pt>
                <c:pt idx="1">
                  <c:v>42</c:v>
                </c:pt>
                <c:pt idx="2">
                  <c:v>86</c:v>
                </c:pt>
                <c:pt idx="3">
                  <c:v>60</c:v>
                </c:pt>
                <c:pt idx="4">
                  <c:v>74</c:v>
                </c:pt>
                <c:pt idx="5">
                  <c:v>40</c:v>
                </c:pt>
                <c:pt idx="6">
                  <c:v>85</c:v>
                </c:pt>
                <c:pt idx="7">
                  <c:v>53</c:v>
                </c:pt>
                <c:pt idx="8">
                  <c:v>24</c:v>
                </c:pt>
                <c:pt idx="9">
                  <c:v>19</c:v>
                </c:pt>
                <c:pt idx="10">
                  <c:v>23</c:v>
                </c:pt>
                <c:pt idx="11">
                  <c:v>22</c:v>
                </c:pt>
                <c:pt idx="12">
                  <c:v>25</c:v>
                </c:pt>
                <c:pt idx="13">
                  <c:v>22</c:v>
                </c:pt>
                <c:pt idx="14">
                  <c:v>23</c:v>
                </c:pt>
                <c:pt idx="15">
                  <c:v>24</c:v>
                </c:pt>
                <c:pt idx="16">
                  <c:v>93</c:v>
                </c:pt>
                <c:pt idx="17">
                  <c:v>76</c:v>
                </c:pt>
                <c:pt idx="18">
                  <c:v>96</c:v>
                </c:pt>
                <c:pt idx="19">
                  <c:v>85</c:v>
                </c:pt>
                <c:pt idx="20">
                  <c:v>93</c:v>
                </c:pt>
                <c:pt idx="21">
                  <c:v>78</c:v>
                </c:pt>
                <c:pt idx="22">
                  <c:v>96</c:v>
                </c:pt>
                <c:pt idx="23">
                  <c:v>82</c:v>
                </c:pt>
                <c:pt idx="24">
                  <c:v>66</c:v>
                </c:pt>
                <c:pt idx="25">
                  <c:v>60</c:v>
                </c:pt>
                <c:pt idx="26">
                  <c:v>59</c:v>
                </c:pt>
                <c:pt idx="27">
                  <c:v>56</c:v>
                </c:pt>
                <c:pt idx="28">
                  <c:v>62</c:v>
                </c:pt>
                <c:pt idx="29">
                  <c:v>63</c:v>
                </c:pt>
                <c:pt idx="30">
                  <c:v>40</c:v>
                </c:pt>
                <c:pt idx="31">
                  <c:v>45</c:v>
                </c:pt>
              </c:numCache>
            </c:numRef>
          </c:yVal>
          <c:smooth val="1"/>
        </c:ser>
        <c:ser>
          <c:idx val="2"/>
          <c:order val="2"/>
          <c:tx>
            <c:strRef>
              <c:f>Peak!$D$1</c:f>
              <c:strCache>
                <c:ptCount val="1"/>
                <c:pt idx="0">
                  <c:v>LHD Peak SP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Peak!$D$2:$D$33</c:f>
              <c:numCache>
                <c:formatCode>General</c:formatCode>
                <c:ptCount val="32"/>
                <c:pt idx="0">
                  <c:v>96</c:v>
                </c:pt>
                <c:pt idx="1">
                  <c:v>64</c:v>
                </c:pt>
                <c:pt idx="2">
                  <c:v>80</c:v>
                </c:pt>
                <c:pt idx="3">
                  <c:v>66</c:v>
                </c:pt>
                <c:pt idx="4">
                  <c:v>75</c:v>
                </c:pt>
                <c:pt idx="5">
                  <c:v>63</c:v>
                </c:pt>
                <c:pt idx="6">
                  <c:v>78</c:v>
                </c:pt>
                <c:pt idx="7">
                  <c:v>64</c:v>
                </c:pt>
                <c:pt idx="8">
                  <c:v>42</c:v>
                </c:pt>
                <c:pt idx="9">
                  <c:v>42</c:v>
                </c:pt>
                <c:pt idx="10">
                  <c:v>43</c:v>
                </c:pt>
                <c:pt idx="11">
                  <c:v>42</c:v>
                </c:pt>
                <c:pt idx="12">
                  <c:v>38</c:v>
                </c:pt>
                <c:pt idx="13">
                  <c:v>38</c:v>
                </c:pt>
                <c:pt idx="14">
                  <c:v>38</c:v>
                </c:pt>
                <c:pt idx="15">
                  <c:v>39</c:v>
                </c:pt>
                <c:pt idx="16">
                  <c:v>92</c:v>
                </c:pt>
                <c:pt idx="17">
                  <c:v>84</c:v>
                </c:pt>
                <c:pt idx="18">
                  <c:v>95</c:v>
                </c:pt>
                <c:pt idx="19">
                  <c:v>85</c:v>
                </c:pt>
                <c:pt idx="20">
                  <c:v>91</c:v>
                </c:pt>
                <c:pt idx="21">
                  <c:v>76</c:v>
                </c:pt>
                <c:pt idx="22">
                  <c:v>92</c:v>
                </c:pt>
                <c:pt idx="23">
                  <c:v>77</c:v>
                </c:pt>
                <c:pt idx="24">
                  <c:v>58</c:v>
                </c:pt>
                <c:pt idx="25">
                  <c:v>55</c:v>
                </c:pt>
                <c:pt idx="26">
                  <c:v>52</c:v>
                </c:pt>
                <c:pt idx="27">
                  <c:v>53</c:v>
                </c:pt>
                <c:pt idx="28">
                  <c:v>75</c:v>
                </c:pt>
                <c:pt idx="29">
                  <c:v>76</c:v>
                </c:pt>
                <c:pt idx="30">
                  <c:v>75</c:v>
                </c:pt>
                <c:pt idx="31">
                  <c:v>75</c:v>
                </c:pt>
              </c:numCache>
            </c:numRef>
          </c:yVal>
          <c:smooth val="1"/>
        </c:ser>
        <c:dLbls>
          <c:showLegendKey val="0"/>
          <c:showVal val="0"/>
          <c:showCatName val="0"/>
          <c:showSerName val="0"/>
          <c:showPercent val="0"/>
          <c:showBubbleSize val="0"/>
        </c:dLbls>
        <c:axId val="-1370938144"/>
        <c:axId val="-1370940320"/>
      </c:scatterChart>
      <c:valAx>
        <c:axId val="-137093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40320"/>
        <c:crosses val="autoZero"/>
        <c:crossBetween val="midCat"/>
      </c:valAx>
      <c:valAx>
        <c:axId val="-137094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SP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3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73</cp:revision>
  <dcterms:created xsi:type="dcterms:W3CDTF">2014-04-14T05:40:00Z</dcterms:created>
  <dcterms:modified xsi:type="dcterms:W3CDTF">2014-04-15T07:58:00Z</dcterms:modified>
</cp:coreProperties>
</file>