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853A" w14:textId="77777777" w:rsidR="00184652" w:rsidRPr="00184652" w:rsidRDefault="00184652" w:rsidP="00184652">
      <w:pPr>
        <w:jc w:val="center"/>
        <w:rPr>
          <w:rFonts w:ascii="Arial Narrow" w:hAnsi="Arial Narrow"/>
          <w:b/>
          <w:bCs/>
          <w:sz w:val="32"/>
          <w:szCs w:val="32"/>
        </w:rPr>
      </w:pPr>
      <w:r w:rsidRPr="00184652">
        <w:rPr>
          <w:rFonts w:ascii="Arial Narrow" w:hAnsi="Arial Narrow"/>
          <w:b/>
          <w:bCs/>
          <w:sz w:val="32"/>
          <w:szCs w:val="32"/>
        </w:rPr>
        <w:t>ANALYSE EXPLORATOIRE DES DONNÉES (EDA)</w:t>
      </w:r>
    </w:p>
    <w:p w14:paraId="1767D671" w14:textId="77777777" w:rsidR="00184652" w:rsidRPr="00184652" w:rsidRDefault="00184652" w:rsidP="00184652">
      <w:pPr>
        <w:pStyle w:val="Titre1"/>
        <w:numPr>
          <w:ilvl w:val="0"/>
          <w:numId w:val="25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Contexte méthodologique préalable</w:t>
      </w:r>
    </w:p>
    <w:p w14:paraId="059A74C3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Lors de l’importation initiale, les fichiers fournis au format CSV présentaient l’ensemble des informations regroupées dans une seule colonne, en raison d’un problème de reconnaissance du séparateur.</w:t>
      </w:r>
      <w:r w:rsidRPr="00184652">
        <w:rPr>
          <w:rFonts w:ascii="Arial Narrow" w:hAnsi="Arial Narrow"/>
        </w:rPr>
        <w:br/>
        <w:t xml:space="preserve">Une étape préalable de structuration des données a donc été réalisée sous Excel, à l’aide de la fonctionnalité </w:t>
      </w:r>
      <w:r w:rsidRPr="00184652">
        <w:rPr>
          <w:rFonts w:ascii="Arial Narrow" w:hAnsi="Arial Narrow"/>
          <w:i/>
          <w:iCs/>
        </w:rPr>
        <w:t>« Texte en colonnes »</w:t>
      </w:r>
      <w:r w:rsidRPr="00184652">
        <w:rPr>
          <w:rFonts w:ascii="Arial Narrow" w:hAnsi="Arial Narrow"/>
        </w:rPr>
        <w:t>, afin d’identifier et d’appliquer le séparateur approprié.</w:t>
      </w:r>
    </w:p>
    <w:p w14:paraId="117E09CD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Cette opération a permis :</w:t>
      </w:r>
    </w:p>
    <w:p w14:paraId="2B4AB05A" w14:textId="08584BD4" w:rsidR="00184652" w:rsidRPr="00184652" w:rsidRDefault="00184652" w:rsidP="00184652">
      <w:pPr>
        <w:numPr>
          <w:ilvl w:val="0"/>
          <w:numId w:val="26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De</w:t>
      </w:r>
      <w:r w:rsidRPr="00184652">
        <w:rPr>
          <w:rFonts w:ascii="Arial Narrow" w:hAnsi="Arial Narrow"/>
        </w:rPr>
        <w:t xml:space="preserve"> reconstituer correctement les variables,</w:t>
      </w:r>
    </w:p>
    <w:p w14:paraId="6B5C2CFB" w14:textId="45E30D48" w:rsidR="00184652" w:rsidRPr="00184652" w:rsidRDefault="00184652" w:rsidP="00184652">
      <w:pPr>
        <w:numPr>
          <w:ilvl w:val="0"/>
          <w:numId w:val="26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D’harmoniser</w:t>
      </w:r>
      <w:r w:rsidRPr="00184652">
        <w:rPr>
          <w:rFonts w:ascii="Arial Narrow" w:hAnsi="Arial Narrow"/>
        </w:rPr>
        <w:t xml:space="preserve"> les formats,</w:t>
      </w:r>
    </w:p>
    <w:p w14:paraId="4A36938B" w14:textId="27F912E3" w:rsidR="00184652" w:rsidRPr="00184652" w:rsidRDefault="00184652" w:rsidP="00184652">
      <w:pPr>
        <w:numPr>
          <w:ilvl w:val="0"/>
          <w:numId w:val="26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Et</w:t>
      </w:r>
      <w:r w:rsidRPr="00184652">
        <w:rPr>
          <w:rFonts w:ascii="Arial Narrow" w:hAnsi="Arial Narrow"/>
        </w:rPr>
        <w:t xml:space="preserve"> d’obtenir des jeux de données structurés et exploitables pour l’analyse exploratoire et les traitements ultérieurs.</w:t>
      </w:r>
    </w:p>
    <w:p w14:paraId="2AC706CD" w14:textId="195660E3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305CAF01" w14:textId="5AA61EE8" w:rsidR="00184652" w:rsidRPr="00184652" w:rsidRDefault="00184652" w:rsidP="00184652">
      <w:pPr>
        <w:pStyle w:val="Titre1"/>
        <w:numPr>
          <w:ilvl w:val="0"/>
          <w:numId w:val="25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Description des jeux de données</w:t>
      </w:r>
    </w:p>
    <w:p w14:paraId="6EB28C9B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Les jeux de données analysés couvrent les dimensions administratives, territoriales, socioéconomiques et opérationnelles des services publics liés à la délivrance de documents administratifs.</w:t>
      </w:r>
    </w:p>
    <w:tbl>
      <w:tblPr>
        <w:tblStyle w:val="Grilledutableau"/>
        <w:tblW w:w="9759" w:type="dxa"/>
        <w:tblLook w:val="04A0" w:firstRow="1" w:lastRow="0" w:firstColumn="1" w:lastColumn="0" w:noHBand="0" w:noVBand="1"/>
      </w:tblPr>
      <w:tblGrid>
        <w:gridCol w:w="3443"/>
        <w:gridCol w:w="3728"/>
        <w:gridCol w:w="2588"/>
      </w:tblGrid>
      <w:tr w:rsidR="00184652" w:rsidRPr="00184652" w14:paraId="56284D57" w14:textId="77777777" w:rsidTr="00B171E9">
        <w:trPr>
          <w:trHeight w:val="829"/>
        </w:trPr>
        <w:tc>
          <w:tcPr>
            <w:tcW w:w="0" w:type="auto"/>
            <w:shd w:val="clear" w:color="auto" w:fill="E2EFD9" w:themeFill="accent6" w:themeFillTint="33"/>
            <w:hideMark/>
          </w:tcPr>
          <w:p w14:paraId="30398EC1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Fichier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2B265C07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Rôle analytique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79A5512E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Structure et dimensions</w:t>
            </w:r>
          </w:p>
        </w:tc>
      </w:tr>
      <w:tr w:rsidR="00184652" w:rsidRPr="00184652" w14:paraId="44B9A3A2" w14:textId="77777777" w:rsidTr="00B171E9">
        <w:trPr>
          <w:trHeight w:val="1156"/>
        </w:trPr>
        <w:tc>
          <w:tcPr>
            <w:tcW w:w="0" w:type="auto"/>
            <w:hideMark/>
          </w:tcPr>
          <w:p w14:paraId="632BF7B7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centres_services.csv</w:t>
            </w:r>
          </w:p>
        </w:tc>
        <w:tc>
          <w:tcPr>
            <w:tcW w:w="0" w:type="auto"/>
            <w:hideMark/>
          </w:tcPr>
          <w:p w14:paraId="28CB2403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Localisation, capacité opérationnelle des centres et rattachement administratif</w:t>
            </w:r>
          </w:p>
        </w:tc>
        <w:tc>
          <w:tcPr>
            <w:tcW w:w="0" w:type="auto"/>
            <w:hideMark/>
          </w:tcPr>
          <w:p w14:paraId="14315C96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19 variables, 55 centres, environ 982 observations</w:t>
            </w:r>
          </w:p>
        </w:tc>
      </w:tr>
      <w:tr w:rsidR="00184652" w:rsidRPr="00184652" w14:paraId="3ADA50C5" w14:textId="77777777" w:rsidTr="00B171E9">
        <w:trPr>
          <w:trHeight w:val="1156"/>
        </w:trPr>
        <w:tc>
          <w:tcPr>
            <w:tcW w:w="0" w:type="auto"/>
            <w:hideMark/>
          </w:tcPr>
          <w:p w14:paraId="20C76016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demandes_service_public.csv</w:t>
            </w:r>
          </w:p>
        </w:tc>
        <w:tc>
          <w:tcPr>
            <w:tcW w:w="0" w:type="auto"/>
            <w:hideMark/>
          </w:tcPr>
          <w:p w14:paraId="1BBDE47E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Volumes de demandes, délais de traitement et pression exercée sur les services publics</w:t>
            </w:r>
          </w:p>
        </w:tc>
        <w:tc>
          <w:tcPr>
            <w:tcW w:w="0" w:type="auto"/>
            <w:hideMark/>
          </w:tcPr>
          <w:p w14:paraId="5EF36799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21 variables, 600 demandes, environ 11 046 observations</w:t>
            </w:r>
          </w:p>
        </w:tc>
      </w:tr>
      <w:tr w:rsidR="00184652" w:rsidRPr="00184652" w14:paraId="16B5A551" w14:textId="77777777" w:rsidTr="00B171E9">
        <w:trPr>
          <w:trHeight w:val="1495"/>
        </w:trPr>
        <w:tc>
          <w:tcPr>
            <w:tcW w:w="0" w:type="auto"/>
            <w:hideMark/>
          </w:tcPr>
          <w:p w14:paraId="64595687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details_communes.csv</w:t>
            </w:r>
          </w:p>
        </w:tc>
        <w:tc>
          <w:tcPr>
            <w:tcW w:w="0" w:type="auto"/>
            <w:hideMark/>
          </w:tcPr>
          <w:p w14:paraId="52596563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Informations administratives et géographiques des communes (superficie, densité, etc.)</w:t>
            </w:r>
          </w:p>
        </w:tc>
        <w:tc>
          <w:tcPr>
            <w:tcW w:w="0" w:type="auto"/>
            <w:hideMark/>
          </w:tcPr>
          <w:p w14:paraId="4A9379D4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15 variables, 200 communes, environ 2 834 observations</w:t>
            </w:r>
          </w:p>
        </w:tc>
      </w:tr>
      <w:tr w:rsidR="00184652" w:rsidRPr="00184652" w14:paraId="32532678" w14:textId="77777777" w:rsidTr="00B171E9">
        <w:trPr>
          <w:trHeight w:val="1156"/>
        </w:trPr>
        <w:tc>
          <w:tcPr>
            <w:tcW w:w="0" w:type="auto"/>
            <w:hideMark/>
          </w:tcPr>
          <w:p w14:paraId="5193CC19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donnees_socioeconomiques.csv</w:t>
            </w:r>
          </w:p>
        </w:tc>
        <w:tc>
          <w:tcPr>
            <w:tcW w:w="0" w:type="auto"/>
            <w:hideMark/>
          </w:tcPr>
          <w:p w14:paraId="2E09B359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Indicateurs socioéconomiques (population, revenus, etc.)</w:t>
            </w:r>
          </w:p>
        </w:tc>
        <w:tc>
          <w:tcPr>
            <w:tcW w:w="0" w:type="auto"/>
            <w:hideMark/>
          </w:tcPr>
          <w:p w14:paraId="4532361F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11 variables, 5 régions, environ 1 276 observations</w:t>
            </w:r>
          </w:p>
        </w:tc>
      </w:tr>
      <w:tr w:rsidR="00184652" w:rsidRPr="00184652" w14:paraId="03ADB00E" w14:textId="77777777" w:rsidTr="00B171E9">
        <w:trPr>
          <w:trHeight w:val="1167"/>
        </w:trPr>
        <w:tc>
          <w:tcPr>
            <w:tcW w:w="0" w:type="auto"/>
            <w:hideMark/>
          </w:tcPr>
          <w:p w14:paraId="3AF78FF4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lastRenderedPageBreak/>
              <w:t>developpement.csv</w:t>
            </w:r>
          </w:p>
        </w:tc>
        <w:tc>
          <w:tcPr>
            <w:tcW w:w="0" w:type="auto"/>
            <w:hideMark/>
          </w:tcPr>
          <w:p w14:paraId="465A4C9F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Indicateurs de développement de base (santé, éducation, etc.)</w:t>
            </w:r>
          </w:p>
        </w:tc>
        <w:tc>
          <w:tcPr>
            <w:tcW w:w="0" w:type="auto"/>
            <w:hideMark/>
          </w:tcPr>
          <w:p w14:paraId="113A4675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15 variables, 5 régions, environ 510 observations</w:t>
            </w:r>
          </w:p>
        </w:tc>
      </w:tr>
      <w:tr w:rsidR="00184652" w:rsidRPr="00184652" w14:paraId="5E443681" w14:textId="77777777" w:rsidTr="00B171E9">
        <w:trPr>
          <w:trHeight w:val="1156"/>
        </w:trPr>
        <w:tc>
          <w:tcPr>
            <w:tcW w:w="0" w:type="auto"/>
            <w:hideMark/>
          </w:tcPr>
          <w:p w14:paraId="3947A961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documents_administratifs_ext.csv</w:t>
            </w:r>
          </w:p>
        </w:tc>
        <w:tc>
          <w:tcPr>
            <w:tcW w:w="0" w:type="auto"/>
            <w:hideMark/>
          </w:tcPr>
          <w:p w14:paraId="0D39D318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Types de documents administratifs et taux de traitement par type</w:t>
            </w:r>
          </w:p>
        </w:tc>
        <w:tc>
          <w:tcPr>
            <w:tcW w:w="0" w:type="auto"/>
            <w:hideMark/>
          </w:tcPr>
          <w:p w14:paraId="7E6405EC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11 variables, années 2023–2024, environ 666 observations</w:t>
            </w:r>
          </w:p>
        </w:tc>
      </w:tr>
      <w:tr w:rsidR="00184652" w:rsidRPr="00184652" w14:paraId="785BE8A4" w14:textId="77777777" w:rsidTr="00B171E9">
        <w:trPr>
          <w:trHeight w:val="1156"/>
        </w:trPr>
        <w:tc>
          <w:tcPr>
            <w:tcW w:w="0" w:type="auto"/>
            <w:hideMark/>
          </w:tcPr>
          <w:p w14:paraId="79EBD1CB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logs_activite.csv</w:t>
            </w:r>
          </w:p>
        </w:tc>
        <w:tc>
          <w:tcPr>
            <w:tcW w:w="0" w:type="auto"/>
            <w:hideMark/>
          </w:tcPr>
          <w:p w14:paraId="66DC5E44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Activité opérationnelle des centres (effectifs, volumes traités, etc.)</w:t>
            </w:r>
          </w:p>
        </w:tc>
        <w:tc>
          <w:tcPr>
            <w:tcW w:w="0" w:type="auto"/>
            <w:hideMark/>
          </w:tcPr>
          <w:p w14:paraId="2F194AEB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18 variables, 450 logs, environ 7 216 observations</w:t>
            </w:r>
          </w:p>
        </w:tc>
      </w:tr>
      <w:tr w:rsidR="00184652" w:rsidRPr="00184652" w14:paraId="3BB34298" w14:textId="77777777" w:rsidTr="00B171E9">
        <w:trPr>
          <w:trHeight w:val="1156"/>
        </w:trPr>
        <w:tc>
          <w:tcPr>
            <w:tcW w:w="0" w:type="auto"/>
            <w:hideMark/>
          </w:tcPr>
          <w:p w14:paraId="78F8E285" w14:textId="77777777" w:rsidR="00184652" w:rsidRPr="00184652" w:rsidRDefault="00184652" w:rsidP="00184652">
            <w:pPr>
              <w:rPr>
                <w:rFonts w:ascii="Arial Narrow" w:hAnsi="Arial Narrow"/>
                <w:b/>
                <w:bCs/>
              </w:rPr>
            </w:pPr>
            <w:r w:rsidRPr="00184652">
              <w:rPr>
                <w:rFonts w:ascii="Arial Narrow" w:hAnsi="Arial Narrow"/>
                <w:b/>
                <w:bCs/>
              </w:rPr>
              <w:t>reseau_routier_togo_ext.csv</w:t>
            </w:r>
          </w:p>
        </w:tc>
        <w:tc>
          <w:tcPr>
            <w:tcW w:w="0" w:type="auto"/>
            <w:hideMark/>
          </w:tcPr>
          <w:p w14:paraId="7F170DC3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Accessibilité territoriale et réseau routier desservant les centres</w:t>
            </w:r>
          </w:p>
        </w:tc>
        <w:tc>
          <w:tcPr>
            <w:tcW w:w="0" w:type="auto"/>
            <w:hideMark/>
          </w:tcPr>
          <w:p w14:paraId="3277DF03" w14:textId="77777777" w:rsidR="00184652" w:rsidRPr="00184652" w:rsidRDefault="00184652" w:rsidP="00184652">
            <w:pPr>
              <w:rPr>
                <w:rFonts w:ascii="Arial Narrow" w:hAnsi="Arial Narrow"/>
              </w:rPr>
            </w:pPr>
            <w:r w:rsidRPr="00184652">
              <w:rPr>
                <w:rFonts w:ascii="Arial Narrow" w:hAnsi="Arial Narrow"/>
              </w:rPr>
              <w:t>14 variables, 18 préfectures, environ 574 observations</w:t>
            </w:r>
          </w:p>
        </w:tc>
      </w:tr>
    </w:tbl>
    <w:p w14:paraId="6036FD01" w14:textId="77777777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46FF1C51" w14:textId="77777777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2D094B43" w14:textId="3894FEC8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Pris ensemble, ces jeux de données décrivent :</w:t>
      </w:r>
    </w:p>
    <w:p w14:paraId="58992606" w14:textId="42788592" w:rsidR="00184652" w:rsidRPr="00184652" w:rsidRDefault="00184652" w:rsidP="00184652">
      <w:pPr>
        <w:numPr>
          <w:ilvl w:val="0"/>
          <w:numId w:val="19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La</w:t>
      </w:r>
      <w:r w:rsidRPr="00184652">
        <w:rPr>
          <w:rFonts w:ascii="Arial Narrow" w:hAnsi="Arial Narrow"/>
        </w:rPr>
        <w:t xml:space="preserve"> localisation administrative des centres et des communes,</w:t>
      </w:r>
    </w:p>
    <w:p w14:paraId="0654A879" w14:textId="02200099" w:rsidR="00184652" w:rsidRPr="00184652" w:rsidRDefault="00184652" w:rsidP="00184652">
      <w:pPr>
        <w:numPr>
          <w:ilvl w:val="0"/>
          <w:numId w:val="19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Leur</w:t>
      </w:r>
      <w:r w:rsidRPr="00184652">
        <w:rPr>
          <w:rFonts w:ascii="Arial Narrow" w:hAnsi="Arial Narrow"/>
        </w:rPr>
        <w:t xml:space="preserve"> capacité opérationnelle,</w:t>
      </w:r>
    </w:p>
    <w:p w14:paraId="78CFD9D5" w14:textId="3F414D64" w:rsidR="00184652" w:rsidRPr="00184652" w:rsidRDefault="00184652" w:rsidP="00184652">
      <w:pPr>
        <w:numPr>
          <w:ilvl w:val="0"/>
          <w:numId w:val="19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L’accessibilité</w:t>
      </w:r>
      <w:r w:rsidRPr="00184652">
        <w:rPr>
          <w:rFonts w:ascii="Arial Narrow" w:hAnsi="Arial Narrow"/>
        </w:rPr>
        <w:t xml:space="preserve"> territoriale,</w:t>
      </w:r>
    </w:p>
    <w:p w14:paraId="58E4C334" w14:textId="6829A0C4" w:rsidR="00184652" w:rsidRPr="00184652" w:rsidRDefault="00184652" w:rsidP="00184652">
      <w:pPr>
        <w:numPr>
          <w:ilvl w:val="0"/>
          <w:numId w:val="19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Ainsi</w:t>
      </w:r>
      <w:r w:rsidRPr="00184652">
        <w:rPr>
          <w:rFonts w:ascii="Arial Narrow" w:hAnsi="Arial Narrow"/>
        </w:rPr>
        <w:t xml:space="preserve"> que la demande effective en services administratifs.</w:t>
      </w:r>
    </w:p>
    <w:p w14:paraId="5B21816C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Ils constituent une base analytique centrale pour l’étude de l’accessibilité aux services publics et de la charge pesant sur les centres.</w:t>
      </w:r>
    </w:p>
    <w:p w14:paraId="2F6EFCC7" w14:textId="2009737E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4FE43163" w14:textId="5D7266EF" w:rsidR="00184652" w:rsidRPr="00184652" w:rsidRDefault="00184652" w:rsidP="00184652">
      <w:pPr>
        <w:pStyle w:val="Titre1"/>
        <w:numPr>
          <w:ilvl w:val="0"/>
          <w:numId w:val="25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Qualité des données</w:t>
      </w:r>
    </w:p>
    <w:p w14:paraId="00478DAB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L’analyse exploratoire a permis d’identifier plusieurs enjeux transversaux de qualité des données :</w:t>
      </w:r>
    </w:p>
    <w:p w14:paraId="54127F69" w14:textId="77777777" w:rsidR="00184652" w:rsidRPr="00184652" w:rsidRDefault="00184652" w:rsidP="00184652">
      <w:pPr>
        <w:numPr>
          <w:ilvl w:val="0"/>
          <w:numId w:val="20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Présence de valeurs manquantes sur plusieurs variables dans l’ensemble des fichiers ;</w:t>
      </w:r>
    </w:p>
    <w:p w14:paraId="64AEB204" w14:textId="77777777" w:rsidR="00184652" w:rsidRPr="00184652" w:rsidRDefault="00184652" w:rsidP="00184652">
      <w:pPr>
        <w:numPr>
          <w:ilvl w:val="0"/>
          <w:numId w:val="20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Incohérences de typage observées dans certaines colonnes (valeurs textuelles dans des champs numériques, formats de dates hétérogènes) ;</w:t>
      </w:r>
    </w:p>
    <w:p w14:paraId="1CF027A2" w14:textId="77777777" w:rsidR="00184652" w:rsidRPr="00184652" w:rsidRDefault="00184652" w:rsidP="00184652">
      <w:pPr>
        <w:numPr>
          <w:ilvl w:val="0"/>
          <w:numId w:val="20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Absence de doublons sur les identifiants clés (ID des centres, des demandes ou des entités administratives), indiquant une bonne unicité des enregistrements.</w:t>
      </w:r>
    </w:p>
    <w:p w14:paraId="442D4612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Ces constats confirment la nécessité d’une phase de nettoyage, de normalisation et d’harmonisation avant toute analyse statistique ou modélisation avancée.</w:t>
      </w:r>
    </w:p>
    <w:p w14:paraId="17E600AD" w14:textId="3599EE03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6DB4A20B" w14:textId="1B336DE6" w:rsidR="00184652" w:rsidRPr="00184652" w:rsidRDefault="00184652" w:rsidP="00184652">
      <w:pPr>
        <w:pStyle w:val="Titre1"/>
        <w:numPr>
          <w:ilvl w:val="0"/>
          <w:numId w:val="25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lastRenderedPageBreak/>
        <w:t>Principaux constats exploratoires</w:t>
      </w:r>
    </w:p>
    <w:p w14:paraId="45B97EDA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Les premières analyses descriptives mettent en évidence plusieurs tendances structurantes :</w:t>
      </w:r>
    </w:p>
    <w:p w14:paraId="78443899" w14:textId="77777777" w:rsidR="00184652" w:rsidRPr="00184652" w:rsidRDefault="00184652" w:rsidP="00184652">
      <w:pPr>
        <w:numPr>
          <w:ilvl w:val="0"/>
          <w:numId w:val="21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Une forte variabilité de la capacité opérationnelle entre les centres, traduisant des écarts significatifs en termes de ressources humaines et matérielles ;</w:t>
      </w:r>
    </w:p>
    <w:p w14:paraId="6C3C49C1" w14:textId="77777777" w:rsidR="00184652" w:rsidRPr="00184652" w:rsidRDefault="00184652" w:rsidP="00184652">
      <w:pPr>
        <w:numPr>
          <w:ilvl w:val="0"/>
          <w:numId w:val="21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Une répartition territoriale hétérogène des centres et des demandes, suggérant des disparités d’accès aux services publics selon les régions et les communes ;</w:t>
      </w:r>
    </w:p>
    <w:p w14:paraId="5FE65AD6" w14:textId="77777777" w:rsidR="00184652" w:rsidRPr="00184652" w:rsidRDefault="00184652" w:rsidP="00184652">
      <w:pPr>
        <w:numPr>
          <w:ilvl w:val="0"/>
          <w:numId w:val="21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Une qualité inégale des données de localisation, limitant à ce stade la réalisation d’analyses cartographiques fines et pleinement exploitables.</w:t>
      </w:r>
    </w:p>
    <w:p w14:paraId="2337A8F9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Ces constats soulignent l’importance d’une analyse croisée entre l’offre (centres, capacités) et la demande (volumes, types de services).</w:t>
      </w:r>
    </w:p>
    <w:p w14:paraId="0811CFDE" w14:textId="77777777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00D0273F" w14:textId="2AC5F9ED" w:rsidR="00184652" w:rsidRPr="00184652" w:rsidRDefault="00184652" w:rsidP="00184652">
      <w:pPr>
        <w:pStyle w:val="Titre1"/>
        <w:numPr>
          <w:ilvl w:val="0"/>
          <w:numId w:val="25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Limites identifiées et perspectives d’analyse</w:t>
      </w:r>
    </w:p>
    <w:p w14:paraId="4C7E5655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Malgré la richesse des données disponibles, plusieurs limites ont été identifiées :</w:t>
      </w:r>
    </w:p>
    <w:p w14:paraId="25C2C86F" w14:textId="77777777" w:rsidR="00184652" w:rsidRPr="00184652" w:rsidRDefault="00184652" w:rsidP="00184652">
      <w:pPr>
        <w:numPr>
          <w:ilvl w:val="0"/>
          <w:numId w:val="22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Données de localisation partiellement exploitables sans retraitement préalable ;</w:t>
      </w:r>
    </w:p>
    <w:p w14:paraId="3C900931" w14:textId="77777777" w:rsidR="00184652" w:rsidRPr="00184652" w:rsidRDefault="00184652" w:rsidP="00184652">
      <w:pPr>
        <w:numPr>
          <w:ilvl w:val="0"/>
          <w:numId w:val="22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Variables non ou mal documentées, nécessitant une clarification du dictionnaire de données ;</w:t>
      </w:r>
    </w:p>
    <w:p w14:paraId="7CBD5F7C" w14:textId="77777777" w:rsidR="00184652" w:rsidRPr="00184652" w:rsidRDefault="00184652" w:rsidP="00184652">
      <w:pPr>
        <w:numPr>
          <w:ilvl w:val="0"/>
          <w:numId w:val="22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Absence de lien direct exploitable entre certains jeux de données pour mesurer la performance réelle des centres.</w:t>
      </w:r>
    </w:p>
    <w:p w14:paraId="23CA6954" w14:textId="7BB621DB" w:rsidR="00184652" w:rsidRPr="00184652" w:rsidRDefault="00184652" w:rsidP="00184652">
      <w:pPr>
        <w:numPr>
          <w:ilvl w:val="0"/>
          <w:numId w:val="22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 xml:space="preserve">Plusieurs données manquantes </w:t>
      </w:r>
    </w:p>
    <w:p w14:paraId="08050B37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Les étapes suivantes du projet porteront sur :</w:t>
      </w:r>
    </w:p>
    <w:p w14:paraId="448BF780" w14:textId="04778D21" w:rsidR="00184652" w:rsidRPr="00184652" w:rsidRDefault="00184652" w:rsidP="00184652">
      <w:pPr>
        <w:numPr>
          <w:ilvl w:val="0"/>
          <w:numId w:val="23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Le</w:t>
      </w:r>
      <w:r w:rsidRPr="00184652">
        <w:rPr>
          <w:rFonts w:ascii="Arial Narrow" w:hAnsi="Arial Narrow"/>
        </w:rPr>
        <w:t xml:space="preserve"> nettoyage approfondi et la normalisation des variables ;</w:t>
      </w:r>
    </w:p>
    <w:p w14:paraId="48A2BE05" w14:textId="041C6E04" w:rsidR="00184652" w:rsidRPr="00184652" w:rsidRDefault="00184652" w:rsidP="00184652">
      <w:pPr>
        <w:numPr>
          <w:ilvl w:val="0"/>
          <w:numId w:val="23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La</w:t>
      </w:r>
      <w:r w:rsidRPr="00184652">
        <w:rPr>
          <w:rFonts w:ascii="Arial Narrow" w:hAnsi="Arial Narrow"/>
        </w:rPr>
        <w:t xml:space="preserve"> création d’indicateurs de performance (KPI) ;</w:t>
      </w:r>
    </w:p>
    <w:p w14:paraId="26609B76" w14:textId="2EEA17C2" w:rsidR="00184652" w:rsidRPr="00184652" w:rsidRDefault="00184652" w:rsidP="00184652">
      <w:pPr>
        <w:numPr>
          <w:ilvl w:val="0"/>
          <w:numId w:val="23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Le</w:t>
      </w:r>
      <w:r w:rsidRPr="00184652">
        <w:rPr>
          <w:rFonts w:ascii="Arial Narrow" w:hAnsi="Arial Narrow"/>
        </w:rPr>
        <w:t xml:space="preserve"> croisement des </w:t>
      </w:r>
      <w:proofErr w:type="spellStart"/>
      <w:r w:rsidRPr="00184652">
        <w:rPr>
          <w:rFonts w:ascii="Arial Narrow" w:hAnsi="Arial Narrow"/>
        </w:rPr>
        <w:t>datasets</w:t>
      </w:r>
      <w:proofErr w:type="spellEnd"/>
      <w:r w:rsidRPr="00184652">
        <w:rPr>
          <w:rFonts w:ascii="Arial Narrow" w:hAnsi="Arial Narrow"/>
        </w:rPr>
        <w:t>, notamment entre les centres, les demandes et les logs d’activité, afin d’évaluer l’adéquation entre la demande, la capacité et l’accessibilité territoriale.</w:t>
      </w:r>
    </w:p>
    <w:p w14:paraId="6338C8F2" w14:textId="659E442B" w:rsidR="00184652" w:rsidRPr="00184652" w:rsidRDefault="00184652" w:rsidP="00184652">
      <w:pPr>
        <w:rPr>
          <w:rFonts w:ascii="Arial Narrow" w:hAnsi="Arial Narrow"/>
          <w:b/>
          <w:bCs/>
        </w:rPr>
      </w:pPr>
    </w:p>
    <w:p w14:paraId="1481C5E8" w14:textId="416D0435" w:rsidR="00184652" w:rsidRPr="00184652" w:rsidRDefault="00184652" w:rsidP="00184652">
      <w:pPr>
        <w:pStyle w:val="Titre1"/>
        <w:numPr>
          <w:ilvl w:val="0"/>
          <w:numId w:val="25"/>
        </w:numPr>
        <w:rPr>
          <w:rFonts w:ascii="Arial Narrow" w:hAnsi="Arial Narrow"/>
        </w:rPr>
      </w:pPr>
      <w:r w:rsidRPr="00184652">
        <w:rPr>
          <w:rFonts w:ascii="Arial Narrow" w:hAnsi="Arial Narrow"/>
        </w:rPr>
        <w:t>Conclusion EDA</w:t>
      </w:r>
    </w:p>
    <w:p w14:paraId="51920E87" w14:textId="77777777" w:rsidR="00184652" w:rsidRPr="00184652" w:rsidRDefault="00184652" w:rsidP="00184652">
      <w:pPr>
        <w:rPr>
          <w:rFonts w:ascii="Arial Narrow" w:hAnsi="Arial Narrow"/>
        </w:rPr>
      </w:pPr>
      <w:r w:rsidRPr="00184652">
        <w:rPr>
          <w:rFonts w:ascii="Arial Narrow" w:hAnsi="Arial Narrow"/>
        </w:rPr>
        <w:t>Cette analyse exploratoire met en évidence le potentiel analytique élevé des jeux de données étudiés, tout en soulignant la nécessité d’un travail de structuration et de nettoyage préalable.</w:t>
      </w:r>
      <w:r w:rsidRPr="00184652">
        <w:rPr>
          <w:rFonts w:ascii="Arial Narrow" w:hAnsi="Arial Narrow"/>
        </w:rPr>
        <w:br/>
        <w:t>Les résultats obtenus à ce stade constituent une base solide pour les phases suivantes d’analyse approfondie et d’aide à la décision.</w:t>
      </w:r>
    </w:p>
    <w:p w14:paraId="1A5DC7A2" w14:textId="77777777" w:rsidR="00F02855" w:rsidRPr="00184652" w:rsidRDefault="00F02855" w:rsidP="00F02855">
      <w:pPr>
        <w:rPr>
          <w:rFonts w:ascii="Arial Narrow" w:hAnsi="Arial Narrow"/>
        </w:rPr>
      </w:pPr>
    </w:p>
    <w:sectPr w:rsidR="00F02855" w:rsidRPr="00184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2A4"/>
    <w:multiLevelType w:val="multilevel"/>
    <w:tmpl w:val="E67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754C"/>
    <w:multiLevelType w:val="multilevel"/>
    <w:tmpl w:val="90A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71E"/>
    <w:multiLevelType w:val="multilevel"/>
    <w:tmpl w:val="8048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7ADB"/>
    <w:multiLevelType w:val="hybridMultilevel"/>
    <w:tmpl w:val="FDE27B2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E5C99"/>
    <w:multiLevelType w:val="multilevel"/>
    <w:tmpl w:val="2FB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D7BF6"/>
    <w:multiLevelType w:val="multilevel"/>
    <w:tmpl w:val="A20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C3CD4"/>
    <w:multiLevelType w:val="multilevel"/>
    <w:tmpl w:val="C80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C301F"/>
    <w:multiLevelType w:val="multilevel"/>
    <w:tmpl w:val="C9B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16004"/>
    <w:multiLevelType w:val="multilevel"/>
    <w:tmpl w:val="975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27B60"/>
    <w:multiLevelType w:val="hybridMultilevel"/>
    <w:tmpl w:val="EB329948"/>
    <w:lvl w:ilvl="0" w:tplc="040C0013">
      <w:start w:val="1"/>
      <w:numFmt w:val="upperRoman"/>
      <w:lvlText w:val="%1."/>
      <w:lvlJc w:val="righ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68E2ACA"/>
    <w:multiLevelType w:val="multilevel"/>
    <w:tmpl w:val="834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7257A"/>
    <w:multiLevelType w:val="multilevel"/>
    <w:tmpl w:val="8C10E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23266"/>
    <w:multiLevelType w:val="multilevel"/>
    <w:tmpl w:val="551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26E6E"/>
    <w:multiLevelType w:val="multilevel"/>
    <w:tmpl w:val="954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1525"/>
    <w:multiLevelType w:val="multilevel"/>
    <w:tmpl w:val="E002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5CA2"/>
    <w:multiLevelType w:val="hybridMultilevel"/>
    <w:tmpl w:val="160044B0"/>
    <w:lvl w:ilvl="0" w:tplc="6BAE5C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34A34"/>
    <w:multiLevelType w:val="hybridMultilevel"/>
    <w:tmpl w:val="FED6ED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6759E4"/>
    <w:multiLevelType w:val="multilevel"/>
    <w:tmpl w:val="9B8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A3A9E"/>
    <w:multiLevelType w:val="multilevel"/>
    <w:tmpl w:val="1C5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25DA5"/>
    <w:multiLevelType w:val="multilevel"/>
    <w:tmpl w:val="905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C7A2D"/>
    <w:multiLevelType w:val="multilevel"/>
    <w:tmpl w:val="B23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37960"/>
    <w:multiLevelType w:val="multilevel"/>
    <w:tmpl w:val="4BC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F07D7"/>
    <w:multiLevelType w:val="multilevel"/>
    <w:tmpl w:val="C7F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B10FA"/>
    <w:multiLevelType w:val="multilevel"/>
    <w:tmpl w:val="D40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66E7D"/>
    <w:multiLevelType w:val="multilevel"/>
    <w:tmpl w:val="0EB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F57DD"/>
    <w:multiLevelType w:val="hybridMultilevel"/>
    <w:tmpl w:val="274C09B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8B3D3A"/>
    <w:multiLevelType w:val="multilevel"/>
    <w:tmpl w:val="10F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80800"/>
    <w:multiLevelType w:val="multilevel"/>
    <w:tmpl w:val="2B9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08730">
    <w:abstractNumId w:val="0"/>
  </w:num>
  <w:num w:numId="2" w16cid:durableId="399254619">
    <w:abstractNumId w:val="23"/>
  </w:num>
  <w:num w:numId="3" w16cid:durableId="535195410">
    <w:abstractNumId w:val="26"/>
  </w:num>
  <w:num w:numId="4" w16cid:durableId="1486895427">
    <w:abstractNumId w:val="18"/>
  </w:num>
  <w:num w:numId="5" w16cid:durableId="451361324">
    <w:abstractNumId w:val="27"/>
  </w:num>
  <w:num w:numId="6" w16cid:durableId="1848208796">
    <w:abstractNumId w:val="21"/>
  </w:num>
  <w:num w:numId="7" w16cid:durableId="836581207">
    <w:abstractNumId w:val="13"/>
  </w:num>
  <w:num w:numId="8" w16cid:durableId="798693005">
    <w:abstractNumId w:val="14"/>
  </w:num>
  <w:num w:numId="9" w16cid:durableId="1745449151">
    <w:abstractNumId w:val="22"/>
  </w:num>
  <w:num w:numId="10" w16cid:durableId="2060005761">
    <w:abstractNumId w:val="7"/>
  </w:num>
  <w:num w:numId="11" w16cid:durableId="903099683">
    <w:abstractNumId w:val="19"/>
  </w:num>
  <w:num w:numId="12" w16cid:durableId="742944790">
    <w:abstractNumId w:val="17"/>
  </w:num>
  <w:num w:numId="13" w16cid:durableId="1846094041">
    <w:abstractNumId w:val="5"/>
  </w:num>
  <w:num w:numId="14" w16cid:durableId="1350448792">
    <w:abstractNumId w:val="12"/>
  </w:num>
  <w:num w:numId="15" w16cid:durableId="776024007">
    <w:abstractNumId w:val="8"/>
  </w:num>
  <w:num w:numId="16" w16cid:durableId="967246839">
    <w:abstractNumId w:val="4"/>
  </w:num>
  <w:num w:numId="17" w16cid:durableId="435171342">
    <w:abstractNumId w:val="9"/>
  </w:num>
  <w:num w:numId="18" w16cid:durableId="1778208789">
    <w:abstractNumId w:val="2"/>
  </w:num>
  <w:num w:numId="19" w16cid:durableId="254948712">
    <w:abstractNumId w:val="20"/>
  </w:num>
  <w:num w:numId="20" w16cid:durableId="976106844">
    <w:abstractNumId w:val="1"/>
  </w:num>
  <w:num w:numId="21" w16cid:durableId="975259154">
    <w:abstractNumId w:val="10"/>
  </w:num>
  <w:num w:numId="22" w16cid:durableId="1891914164">
    <w:abstractNumId w:val="24"/>
  </w:num>
  <w:num w:numId="23" w16cid:durableId="1417825340">
    <w:abstractNumId w:val="6"/>
  </w:num>
  <w:num w:numId="24" w16cid:durableId="402410117">
    <w:abstractNumId w:val="3"/>
  </w:num>
  <w:num w:numId="25" w16cid:durableId="1278560880">
    <w:abstractNumId w:val="25"/>
  </w:num>
  <w:num w:numId="26" w16cid:durableId="2031908756">
    <w:abstractNumId w:val="11"/>
  </w:num>
  <w:num w:numId="27" w16cid:durableId="2119251903">
    <w:abstractNumId w:val="16"/>
  </w:num>
  <w:num w:numId="28" w16cid:durableId="18995112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55"/>
    <w:rsid w:val="000745B5"/>
    <w:rsid w:val="000D09ED"/>
    <w:rsid w:val="001031B9"/>
    <w:rsid w:val="0014521F"/>
    <w:rsid w:val="00184652"/>
    <w:rsid w:val="0035499B"/>
    <w:rsid w:val="00430BC5"/>
    <w:rsid w:val="00437183"/>
    <w:rsid w:val="005B0384"/>
    <w:rsid w:val="006C515F"/>
    <w:rsid w:val="006F4765"/>
    <w:rsid w:val="007102B5"/>
    <w:rsid w:val="00776356"/>
    <w:rsid w:val="007B2677"/>
    <w:rsid w:val="00815402"/>
    <w:rsid w:val="00961A30"/>
    <w:rsid w:val="00975569"/>
    <w:rsid w:val="00981D96"/>
    <w:rsid w:val="0099031D"/>
    <w:rsid w:val="00A633DB"/>
    <w:rsid w:val="00CF3142"/>
    <w:rsid w:val="00D5555E"/>
    <w:rsid w:val="00DD2103"/>
    <w:rsid w:val="00F02855"/>
    <w:rsid w:val="00F94338"/>
    <w:rsid w:val="00FA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6DB5"/>
  <w15:chartTrackingRefBased/>
  <w15:docId w15:val="{14749A4F-7D4C-4A12-8DA6-BF32ABF7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2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2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2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2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2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2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2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2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2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2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2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2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28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28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28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28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28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28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2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2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2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2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2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28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28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28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2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28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285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7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776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</dc:creator>
  <cp:keywords/>
  <dc:description/>
  <cp:lastModifiedBy>BLUE</cp:lastModifiedBy>
  <cp:revision>11</cp:revision>
  <dcterms:created xsi:type="dcterms:W3CDTF">2026-01-17T10:50:00Z</dcterms:created>
  <dcterms:modified xsi:type="dcterms:W3CDTF">2026-01-17T13:55:00Z</dcterms:modified>
</cp:coreProperties>
</file>