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A493" w14:textId="48A4CFEF" w:rsidR="00005DD2" w:rsidRDefault="00005DD2" w:rsidP="00005DD2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005DD2">
        <w:rPr>
          <w:rFonts w:ascii="Arial Narrow" w:hAnsi="Arial Narrow"/>
          <w:b/>
          <w:bCs/>
          <w:sz w:val="36"/>
          <w:szCs w:val="36"/>
          <w:u w:val="single"/>
        </w:rPr>
        <w:t>TABLEAU DES KPI – ANALYSE DES SERVICES PUBLICS</w:t>
      </w:r>
    </w:p>
    <w:p w14:paraId="6B58789E" w14:textId="77777777" w:rsidR="00005DD2" w:rsidRDefault="00005DD2" w:rsidP="00005DD2">
      <w:pPr>
        <w:rPr>
          <w:rFonts w:ascii="Arial Narrow" w:hAnsi="Arial Narrow"/>
          <w:b/>
          <w:bCs/>
          <w:sz w:val="36"/>
          <w:szCs w:val="3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0"/>
        <w:gridCol w:w="1897"/>
        <w:gridCol w:w="2528"/>
        <w:gridCol w:w="2827"/>
      </w:tblGrid>
      <w:tr w:rsidR="00005DD2" w:rsidRPr="00005DD2" w14:paraId="4EEC4ED1" w14:textId="77777777" w:rsidTr="00005DD2">
        <w:tc>
          <w:tcPr>
            <w:tcW w:w="0" w:type="auto"/>
            <w:hideMark/>
          </w:tcPr>
          <w:p w14:paraId="5B114B0F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  <w:b/>
                <w:bCs/>
              </w:rPr>
            </w:pPr>
            <w:r w:rsidRPr="00005DD2">
              <w:rPr>
                <w:rFonts w:ascii="Arial Narrow" w:hAnsi="Arial Narrow"/>
                <w:b/>
                <w:bCs/>
              </w:rPr>
              <w:t>Nom du KPI</w:t>
            </w:r>
          </w:p>
        </w:tc>
        <w:tc>
          <w:tcPr>
            <w:tcW w:w="0" w:type="auto"/>
            <w:hideMark/>
          </w:tcPr>
          <w:p w14:paraId="417967B9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  <w:b/>
                <w:bCs/>
              </w:rPr>
            </w:pPr>
            <w:r w:rsidRPr="00005DD2">
              <w:rPr>
                <w:rFonts w:ascii="Arial Narrow" w:hAnsi="Arial Narrow"/>
                <w:b/>
                <w:bCs/>
              </w:rPr>
              <w:t>Objectif métier</w:t>
            </w:r>
          </w:p>
        </w:tc>
        <w:tc>
          <w:tcPr>
            <w:tcW w:w="0" w:type="auto"/>
            <w:hideMark/>
          </w:tcPr>
          <w:p w14:paraId="698D05E9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  <w:b/>
                <w:bCs/>
              </w:rPr>
            </w:pPr>
            <w:r w:rsidRPr="00005DD2">
              <w:rPr>
                <w:rFonts w:ascii="Arial Narrow" w:hAnsi="Arial Narrow"/>
                <w:b/>
                <w:bCs/>
              </w:rPr>
              <w:t>Description / Interprétation</w:t>
            </w:r>
          </w:p>
        </w:tc>
        <w:tc>
          <w:tcPr>
            <w:tcW w:w="0" w:type="auto"/>
            <w:hideMark/>
          </w:tcPr>
          <w:p w14:paraId="6228B673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  <w:b/>
                <w:bCs/>
              </w:rPr>
            </w:pPr>
            <w:r w:rsidRPr="00005DD2">
              <w:rPr>
                <w:rFonts w:ascii="Arial Narrow" w:hAnsi="Arial Narrow"/>
                <w:b/>
                <w:bCs/>
              </w:rPr>
              <w:t>Règle de calcul</w:t>
            </w:r>
          </w:p>
        </w:tc>
      </w:tr>
      <w:tr w:rsidR="00005DD2" w:rsidRPr="00005DD2" w14:paraId="4054A551" w14:textId="77777777" w:rsidTr="00005DD2">
        <w:tc>
          <w:tcPr>
            <w:tcW w:w="0" w:type="auto"/>
            <w:hideMark/>
          </w:tcPr>
          <w:p w14:paraId="5A987720" w14:textId="1E2CBE06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 xml:space="preserve">Nombre de demandes par </w:t>
            </w:r>
            <w:r>
              <w:rPr>
                <w:rFonts w:ascii="Arial Narrow" w:hAnsi="Arial Narrow"/>
                <w:b/>
                <w:bCs/>
              </w:rPr>
              <w:t xml:space="preserve">Année et </w:t>
            </w:r>
            <w:r w:rsidRPr="00005DD2">
              <w:rPr>
                <w:rFonts w:ascii="Arial Narrow" w:hAnsi="Arial Narrow"/>
                <w:b/>
                <w:bCs/>
              </w:rPr>
              <w:t>région</w:t>
            </w:r>
            <w:r>
              <w:rPr>
                <w:rFonts w:ascii="Arial Narrow" w:hAnsi="Arial Narrow"/>
                <w:b/>
                <w:bCs/>
              </w:rPr>
              <w:t xml:space="preserve"> global </w:t>
            </w:r>
          </w:p>
        </w:tc>
        <w:tc>
          <w:tcPr>
            <w:tcW w:w="0" w:type="auto"/>
            <w:hideMark/>
          </w:tcPr>
          <w:p w14:paraId="261EE03E" w14:textId="423CD8F6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Mesurer la pression de la demande par zone</w:t>
            </w:r>
            <w:r>
              <w:rPr>
                <w:rFonts w:ascii="Arial Narrow" w:hAnsi="Arial Narrow"/>
              </w:rPr>
              <w:t xml:space="preserve"> et par année</w:t>
            </w:r>
          </w:p>
        </w:tc>
        <w:tc>
          <w:tcPr>
            <w:tcW w:w="0" w:type="auto"/>
            <w:hideMark/>
          </w:tcPr>
          <w:p w14:paraId="098D674B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Permet d’identifier les régions les plus sollicitées et de prioriser les ressources.</w:t>
            </w:r>
          </w:p>
        </w:tc>
        <w:tc>
          <w:tcPr>
            <w:tcW w:w="0" w:type="auto"/>
            <w:hideMark/>
          </w:tcPr>
          <w:p w14:paraId="10C067A3" w14:textId="511C008A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Somme de nombre_demandes par région</w:t>
            </w:r>
            <w:r>
              <w:rPr>
                <w:rFonts w:ascii="Arial Narrow" w:hAnsi="Arial Narrow"/>
              </w:rPr>
              <w:t xml:space="preserve"> filtré par année et par région </w:t>
            </w:r>
          </w:p>
        </w:tc>
      </w:tr>
      <w:tr w:rsidR="00005DD2" w:rsidRPr="00005DD2" w14:paraId="1E22A5F3" w14:textId="77777777" w:rsidTr="00005DD2">
        <w:tc>
          <w:tcPr>
            <w:tcW w:w="0" w:type="auto"/>
            <w:hideMark/>
          </w:tcPr>
          <w:p w14:paraId="0A56EABF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Délai moyen de traitement</w:t>
            </w:r>
          </w:p>
        </w:tc>
        <w:tc>
          <w:tcPr>
            <w:tcW w:w="0" w:type="auto"/>
            <w:hideMark/>
          </w:tcPr>
          <w:p w14:paraId="43785E74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Évaluer la performance opérationnelle</w:t>
            </w:r>
          </w:p>
        </w:tc>
        <w:tc>
          <w:tcPr>
            <w:tcW w:w="0" w:type="auto"/>
            <w:hideMark/>
          </w:tcPr>
          <w:p w14:paraId="7BCC6366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Mesure le temps moyen nécessaire pour traiter une demande. Un délai faible traduit une meilleure efficacité.</w:t>
            </w:r>
          </w:p>
        </w:tc>
        <w:tc>
          <w:tcPr>
            <w:tcW w:w="0" w:type="auto"/>
            <w:hideMark/>
          </w:tcPr>
          <w:p w14:paraId="6B0E4965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Moyenne de delai_traitement_jours</w:t>
            </w:r>
          </w:p>
        </w:tc>
      </w:tr>
      <w:tr w:rsidR="00005DD2" w:rsidRPr="00005DD2" w14:paraId="25A19BD0" w14:textId="77777777" w:rsidTr="00005DD2">
        <w:tc>
          <w:tcPr>
            <w:tcW w:w="0" w:type="auto"/>
            <w:hideMark/>
          </w:tcPr>
          <w:p w14:paraId="3245114D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Taux d’utilisation de la capacité des centres</w:t>
            </w:r>
          </w:p>
        </w:tc>
        <w:tc>
          <w:tcPr>
            <w:tcW w:w="0" w:type="auto"/>
            <w:hideMark/>
          </w:tcPr>
          <w:p w14:paraId="1EB58F64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Évaluer la pression sur les centres</w:t>
            </w:r>
          </w:p>
        </w:tc>
        <w:tc>
          <w:tcPr>
            <w:tcW w:w="0" w:type="auto"/>
            <w:hideMark/>
          </w:tcPr>
          <w:p w14:paraId="364AAFB1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Compare l’activité réelle à la capacité théorique des centres. Un taux élevé indique une surcharge potentielle.</w:t>
            </w:r>
          </w:p>
        </w:tc>
        <w:tc>
          <w:tcPr>
            <w:tcW w:w="0" w:type="auto"/>
            <w:hideMark/>
          </w:tcPr>
          <w:p w14:paraId="6A42F443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Total nombre_traite ÷ personnel_capacite_jour</w:t>
            </w:r>
          </w:p>
        </w:tc>
      </w:tr>
      <w:tr w:rsidR="00005DD2" w:rsidRPr="00005DD2" w14:paraId="29DB08D2" w14:textId="77777777" w:rsidTr="00005DD2">
        <w:tc>
          <w:tcPr>
            <w:tcW w:w="0" w:type="auto"/>
            <w:hideMark/>
          </w:tcPr>
          <w:p w14:paraId="43E33C80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Nombre de centres par préfecture</w:t>
            </w:r>
          </w:p>
        </w:tc>
        <w:tc>
          <w:tcPr>
            <w:tcW w:w="0" w:type="auto"/>
            <w:hideMark/>
          </w:tcPr>
          <w:p w14:paraId="7F94CE57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Évaluer la couverture territoriale</w:t>
            </w:r>
          </w:p>
        </w:tc>
        <w:tc>
          <w:tcPr>
            <w:tcW w:w="0" w:type="auto"/>
            <w:hideMark/>
          </w:tcPr>
          <w:p w14:paraId="0ABCE9A1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Permet d’identifier les préfectures sous-équipées en centres de services publics.</w:t>
            </w:r>
          </w:p>
        </w:tc>
        <w:tc>
          <w:tcPr>
            <w:tcW w:w="0" w:type="auto"/>
            <w:hideMark/>
          </w:tcPr>
          <w:p w14:paraId="0C5B6915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Nombre de centre_id distincts par préfecture</w:t>
            </w:r>
          </w:p>
        </w:tc>
      </w:tr>
      <w:tr w:rsidR="00005DD2" w:rsidRPr="00005DD2" w14:paraId="722E679E" w14:textId="77777777" w:rsidTr="00005DD2">
        <w:tc>
          <w:tcPr>
            <w:tcW w:w="0" w:type="auto"/>
            <w:hideMark/>
          </w:tcPr>
          <w:p w14:paraId="52EE30FC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Distance moyenne des communes à la capitale régionale</w:t>
            </w:r>
          </w:p>
        </w:tc>
        <w:tc>
          <w:tcPr>
            <w:tcW w:w="0" w:type="auto"/>
            <w:hideMark/>
          </w:tcPr>
          <w:p w14:paraId="16DA2571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Apprécier l’accessibilité géographique</w:t>
            </w:r>
          </w:p>
        </w:tc>
        <w:tc>
          <w:tcPr>
            <w:tcW w:w="0" w:type="auto"/>
            <w:hideMark/>
          </w:tcPr>
          <w:p w14:paraId="49DB171F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Plus la distance est élevée, plus l’accès aux services peut être contraignant pour les usagers.</w:t>
            </w:r>
          </w:p>
        </w:tc>
        <w:tc>
          <w:tcPr>
            <w:tcW w:w="0" w:type="auto"/>
            <w:hideMark/>
          </w:tcPr>
          <w:p w14:paraId="7512ED81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Moyenne de distance_capitale_km</w:t>
            </w:r>
          </w:p>
        </w:tc>
      </w:tr>
      <w:tr w:rsidR="00005DD2" w:rsidRPr="00005DD2" w14:paraId="71936E40" w14:textId="77777777" w:rsidTr="00005DD2">
        <w:tc>
          <w:tcPr>
            <w:tcW w:w="0" w:type="auto"/>
            <w:hideMark/>
          </w:tcPr>
          <w:p w14:paraId="794A1F0B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Taux de rejet des demandes</w:t>
            </w:r>
          </w:p>
        </w:tc>
        <w:tc>
          <w:tcPr>
            <w:tcW w:w="0" w:type="auto"/>
            <w:hideMark/>
          </w:tcPr>
          <w:p w14:paraId="2B95D292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Évaluer la qualité de service</w:t>
            </w:r>
          </w:p>
        </w:tc>
        <w:tc>
          <w:tcPr>
            <w:tcW w:w="0" w:type="auto"/>
            <w:hideMark/>
          </w:tcPr>
          <w:p w14:paraId="2DBC0255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Indique la proportion de demandes rejetées. Un taux élevé peut révéler des problèmes de procédure ou d’information.</w:t>
            </w:r>
          </w:p>
        </w:tc>
        <w:tc>
          <w:tcPr>
            <w:tcW w:w="0" w:type="auto"/>
            <w:hideMark/>
          </w:tcPr>
          <w:p w14:paraId="20B241CF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Moyenne de taux_rejet</w:t>
            </w:r>
          </w:p>
        </w:tc>
      </w:tr>
      <w:tr w:rsidR="00005DD2" w:rsidRPr="00005DD2" w14:paraId="27E1ABE2" w14:textId="77777777" w:rsidTr="00005DD2">
        <w:tc>
          <w:tcPr>
            <w:tcW w:w="0" w:type="auto"/>
            <w:hideMark/>
          </w:tcPr>
          <w:p w14:paraId="3FF9751A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  <w:b/>
                <w:bCs/>
              </w:rPr>
              <w:t>Charge moyenne par agent</w:t>
            </w:r>
          </w:p>
        </w:tc>
        <w:tc>
          <w:tcPr>
            <w:tcW w:w="0" w:type="auto"/>
            <w:hideMark/>
          </w:tcPr>
          <w:p w14:paraId="600E36FE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Évaluer l’efficience des ressources humaines</w:t>
            </w:r>
          </w:p>
        </w:tc>
        <w:tc>
          <w:tcPr>
            <w:tcW w:w="0" w:type="auto"/>
            <w:hideMark/>
          </w:tcPr>
          <w:p w14:paraId="1C60923B" w14:textId="77777777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Mesure le volume moyen de demandes traitées par agent.</w:t>
            </w:r>
          </w:p>
        </w:tc>
        <w:tc>
          <w:tcPr>
            <w:tcW w:w="0" w:type="auto"/>
            <w:hideMark/>
          </w:tcPr>
          <w:p w14:paraId="3FD6A0C0" w14:textId="08443EEC" w:rsidR="00005DD2" w:rsidRPr="00005DD2" w:rsidRDefault="00005DD2" w:rsidP="00005DD2">
            <w:pPr>
              <w:spacing w:after="160" w:line="278" w:lineRule="auto"/>
              <w:rPr>
                <w:rFonts w:ascii="Arial Narrow" w:hAnsi="Arial Narrow"/>
              </w:rPr>
            </w:pPr>
            <w:r w:rsidRPr="00005DD2">
              <w:rPr>
                <w:rFonts w:ascii="Arial Narrow" w:hAnsi="Arial Narrow"/>
              </w:rPr>
              <w:t>Nombre</w:t>
            </w:r>
            <w:r w:rsidRPr="00005DD2">
              <w:rPr>
                <w:rFonts w:ascii="Arial Narrow" w:hAnsi="Arial Narrow"/>
              </w:rPr>
              <w:t>_traite ÷ personnel_present (moyenne)</w:t>
            </w:r>
          </w:p>
        </w:tc>
      </w:tr>
    </w:tbl>
    <w:p w14:paraId="069DFFE0" w14:textId="77777777" w:rsidR="00005DD2" w:rsidRDefault="00005DD2" w:rsidP="00005DD2">
      <w:pPr>
        <w:rPr>
          <w:rFonts w:ascii="Arial Narrow" w:hAnsi="Arial Narrow"/>
          <w:sz w:val="36"/>
          <w:szCs w:val="36"/>
        </w:rPr>
      </w:pPr>
    </w:p>
    <w:p w14:paraId="427C0D3E" w14:textId="1301380B" w:rsidR="007D0AD5" w:rsidRPr="00005DD2" w:rsidRDefault="007D0AD5" w:rsidP="00005DD2">
      <w:pPr>
        <w:rPr>
          <w:rFonts w:ascii="Arial Narrow" w:hAnsi="Arial Narrow"/>
          <w:sz w:val="36"/>
          <w:szCs w:val="36"/>
        </w:rPr>
      </w:pPr>
      <w:r w:rsidRPr="007D0AD5">
        <w:rPr>
          <w:rFonts w:ascii="Arial Narrow" w:hAnsi="Arial Narrow"/>
          <w:sz w:val="36"/>
          <w:szCs w:val="36"/>
        </w:rPr>
        <w:lastRenderedPageBreak/>
        <w:t>Les règles de calcul décrites pour chaque indicateur sont implémentées sous forme de mesures DAX directement dans Power BI, garantissant une mise à jour dynamique des KPI au niveau du tableau de bord.</w:t>
      </w:r>
    </w:p>
    <w:sectPr w:rsidR="007D0AD5" w:rsidRPr="00005D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D2"/>
    <w:rsid w:val="00005DD2"/>
    <w:rsid w:val="007D0AD5"/>
    <w:rsid w:val="00C5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2D54B"/>
  <w15:chartTrackingRefBased/>
  <w15:docId w15:val="{C43543A7-24B1-40E4-B792-4EC26AC7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5D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5D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5D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5D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5D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5D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5D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5D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5D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5D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5DD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05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</dc:creator>
  <cp:keywords/>
  <dc:description/>
  <cp:lastModifiedBy>BLUE</cp:lastModifiedBy>
  <cp:revision>1</cp:revision>
  <dcterms:created xsi:type="dcterms:W3CDTF">2026-01-19T12:14:00Z</dcterms:created>
  <dcterms:modified xsi:type="dcterms:W3CDTF">2026-01-19T18:23:00Z</dcterms:modified>
</cp:coreProperties>
</file>