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Executive Summary Report</w:t>
      </w:r>
    </w:p>
    <w:p>
      <w:pPr>
        <w:spacing w:after="300"/>
        <w:jc w:val="center"/>
      </w:pPr>
      <w:r>
        <w:rPr>
          <w:i/>
          <w:iCs/>
          <w:color w:val="555555"/>
          <w:sz w:val="22"/>
          <w:szCs w:val="22"/>
        </w:rPr>
        <w:t xml:space="preserve">Superstore Retail — Sales, Profitability &amp; Regional Performance Review</w:t>
      </w:r>
    </w:p>
    <w:p>
      <w:pPr>
        <w:pStyle w:val="Heading2"/>
      </w:pPr>
      <w:r>
        <w:t xml:space="preserve">Overview</w:t>
      </w:r>
    </w:p>
    <w:p>
      <w:pPr>
        <w:spacing w:after="200"/>
      </w:pPr>
      <w:r>
        <w:t xml:space="preserve">Between 2014 and 2017, the company generated $2.30M in total sales across 5,009 orders, yielding $286.4K in profit — an overall profit margin of 12.47%. While the business is profitable overall, performance varies sharply by region, segment, category, and product, with several areas actively losing money. This summary highlights the key insights, risks, and opportunities surfaced by the dashboard, and closes with actionable recommendations for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shd w:fill="F2F2F2" w:val="clear"/>
            <w:tcMar>
              <w:top w:type="dxa" w:w="100"/>
              <w:left w:type="dxa" w:w="100"/>
              <w:bottom w:type="dxa" w:w="100"/>
              <w:right w:type="dxa" w:w="100"/>
            </w:tcMar>
          </w:tcPr>
          <w:p>
            <w:pPr>
              <w:jc w:val="center"/>
            </w:pPr>
            <w:r>
              <w:rPr>
                <w:b/>
                <w:bCs/>
                <w:color w:val="1F4E78"/>
                <w:sz w:val="26"/>
                <w:szCs w:val="26"/>
              </w:rPr>
              <w:t xml:space="preserve">$2.30M</w:t>
            </w:r>
          </w:p>
          <w:p>
            <w:pPr>
              <w:jc w:val="center"/>
            </w:pPr>
            <w:r>
              <w:rPr>
                <w:sz w:val="18"/>
                <w:szCs w:val="18"/>
              </w:rPr>
              <w:t xml:space="preserve">Total Sales</w:t>
            </w:r>
          </w:p>
        </w:tc>
        <w:tc>
          <w:tcPr>
            <w:tcW w:type="dxa" w:w="2016"/>
            <w:shd w:fill="F2F2F2" w:val="clear"/>
            <w:tcMar>
              <w:top w:type="dxa" w:w="100"/>
              <w:left w:type="dxa" w:w="100"/>
              <w:bottom w:type="dxa" w:w="100"/>
              <w:right w:type="dxa" w:w="100"/>
            </w:tcMar>
          </w:tcPr>
          <w:p>
            <w:pPr>
              <w:jc w:val="center"/>
            </w:pPr>
            <w:r>
              <w:rPr>
                <w:b/>
                <w:bCs/>
                <w:color w:val="1F4E78"/>
                <w:sz w:val="26"/>
                <w:szCs w:val="26"/>
              </w:rPr>
              <w:t xml:space="preserve">$286.4K</w:t>
            </w:r>
          </w:p>
          <w:p>
            <w:pPr>
              <w:jc w:val="center"/>
            </w:pPr>
            <w:r>
              <w:rPr>
                <w:sz w:val="18"/>
                <w:szCs w:val="18"/>
              </w:rPr>
              <w:t xml:space="preserve">Total Profit</w:t>
            </w:r>
          </w:p>
        </w:tc>
        <w:tc>
          <w:tcPr>
            <w:tcW w:type="dxa" w:w="2016"/>
            <w:shd w:fill="F2F2F2" w:val="clear"/>
            <w:tcMar>
              <w:top w:type="dxa" w:w="100"/>
              <w:left w:type="dxa" w:w="100"/>
              <w:bottom w:type="dxa" w:w="100"/>
              <w:right w:type="dxa" w:w="100"/>
            </w:tcMar>
          </w:tcPr>
          <w:p>
            <w:pPr>
              <w:jc w:val="center"/>
            </w:pPr>
            <w:r>
              <w:rPr>
                <w:b/>
                <w:bCs/>
                <w:color w:val="1F4E78"/>
                <w:sz w:val="26"/>
                <w:szCs w:val="26"/>
              </w:rPr>
              <w:t xml:space="preserve">5,009</w:t>
            </w:r>
          </w:p>
          <w:p>
            <w:pPr>
              <w:jc w:val="center"/>
            </w:pPr>
            <w:r>
              <w:rPr>
                <w:sz w:val="18"/>
                <w:szCs w:val="18"/>
              </w:rPr>
              <w:t xml:space="preserve">Total Orders</w:t>
            </w:r>
          </w:p>
        </w:tc>
        <w:tc>
          <w:tcPr>
            <w:tcW w:type="dxa" w:w="2016"/>
            <w:shd w:fill="F2F2F2" w:val="clear"/>
            <w:tcMar>
              <w:top w:type="dxa" w:w="100"/>
              <w:left w:type="dxa" w:w="100"/>
              <w:bottom w:type="dxa" w:w="100"/>
              <w:right w:type="dxa" w:w="100"/>
            </w:tcMar>
          </w:tcPr>
          <w:p>
            <w:pPr>
              <w:jc w:val="center"/>
            </w:pPr>
            <w:r>
              <w:rPr>
                <w:b/>
                <w:bCs/>
                <w:color w:val="1F4E78"/>
                <w:sz w:val="26"/>
                <w:szCs w:val="26"/>
              </w:rPr>
              <w:t xml:space="preserve">$229.86</w:t>
            </w:r>
          </w:p>
          <w:p>
            <w:pPr>
              <w:jc w:val="center"/>
            </w:pPr>
            <w:r>
              <w:rPr>
                <w:sz w:val="18"/>
                <w:szCs w:val="18"/>
              </w:rPr>
              <w:t xml:space="preserve">Avg. Sale/Line</w:t>
            </w:r>
          </w:p>
        </w:tc>
        <w:tc>
          <w:tcPr>
            <w:tcW w:type="dxa" w:w="2016"/>
            <w:shd w:fill="F2F2F2" w:val="clear"/>
            <w:tcMar>
              <w:top w:type="dxa" w:w="100"/>
              <w:left w:type="dxa" w:w="100"/>
              <w:bottom w:type="dxa" w:w="100"/>
              <w:right w:type="dxa" w:w="100"/>
            </w:tcMar>
          </w:tcPr>
          <w:p>
            <w:pPr>
              <w:jc w:val="center"/>
            </w:pPr>
            <w:r>
              <w:rPr>
                <w:b/>
                <w:bCs/>
                <w:color w:val="1F4E78"/>
                <w:sz w:val="26"/>
                <w:szCs w:val="26"/>
              </w:rPr>
              <w:t xml:space="preserve">12.47%</w:t>
            </w:r>
          </w:p>
          <w:p>
            <w:pPr>
              <w:jc w:val="center"/>
            </w:pPr>
            <w:r>
              <w:rPr>
                <w:sz w:val="18"/>
                <w:szCs w:val="18"/>
              </w:rPr>
              <w:t xml:space="preserve">Profit Margin</w:t>
            </w:r>
          </w:p>
        </w:tc>
      </w:tr>
    </w:tbl>
    <w:p>
      <w:pPr>
        <w:pStyle w:val="Heading2"/>
        <w:spacing w:before="300"/>
      </w:pPr>
      <w:r>
        <w:t xml:space="preserve">Key Business Insights</w:t>
      </w:r>
    </w:p>
    <w:p>
      <w:pPr>
        <w:pStyle w:val="ListParagraph"/>
        <w:numPr>
          <w:ilvl w:val="0"/>
          <w:numId w:val="1"/>
        </w:numPr>
        <w:spacing w:after="90"/>
      </w:pPr>
      <w:r>
        <w:t xml:space="preserve">Technology is the most profitable category ($145.5K profit on $836K sales), while Furniture is the largest underperformer relative to its size — $742K in sales returns only $18.5K profit (a 2.5% margin), dragged down almost entirely by the Tables sub-category.</w:t>
      </w:r>
    </w:p>
    <w:p>
      <w:pPr>
        <w:pStyle w:val="ListParagraph"/>
        <w:numPr>
          <w:ilvl w:val="0"/>
          <w:numId w:val="1"/>
        </w:numPr>
        <w:spacing w:after="90"/>
      </w:pPr>
      <w:r>
        <w:t xml:space="preserve">The West ($108.4K profit) and East ($91.5K profit) regions generate over two-thirds of total company profit, while the Central region trails significantly despite comparable sales volume ($501K sales, only $39.7K profit).</w:t>
      </w:r>
    </w:p>
    <w:p>
      <w:pPr>
        <w:pStyle w:val="ListParagraph"/>
        <w:numPr>
          <w:ilvl w:val="0"/>
          <w:numId w:val="1"/>
        </w:numPr>
        <w:spacing w:after="90"/>
      </w:pPr>
      <w:r>
        <w:t xml:space="preserve">The Consumer segment drives the most revenue ($1.16M, 50% of sales) and the most profit ($134.1K), making it the company's core customer base.</w:t>
      </w:r>
    </w:p>
    <w:p>
      <w:pPr>
        <w:pStyle w:val="ListParagraph"/>
        <w:numPr>
          <w:ilvl w:val="0"/>
          <w:numId w:val="1"/>
        </w:numPr>
        <w:spacing w:after="90"/>
      </w:pPr>
      <w:r>
        <w:t xml:space="preserve">Tables and Bookcases are structurally unprofitable — Tables alone lost $17.7K despite $207K in sales, and Bookcases lost $3.5K — indicating a pricing or discounting problem specific to these sub-categories, not a demand problem.</w:t>
      </w:r>
    </w:p>
    <w:p>
      <w:pPr>
        <w:pStyle w:val="ListParagraph"/>
        <w:numPr>
          <w:ilvl w:val="0"/>
          <w:numId w:val="1"/>
        </w:numPr>
        <w:spacing w:after="90"/>
      </w:pPr>
      <w:r>
        <w:t xml:space="preserve">Discounting is inversely correlated with profit (correlation ≈ -0.22): higher discounts are systematically associated with lower profitability, suggesting discount policy is eroding margin rather than driving profitable volume.</w:t>
      </w:r>
    </w:p>
    <w:p>
      <w:pPr>
        <w:pStyle w:val="Heading2"/>
        <w:spacing w:before="200"/>
      </w:pPr>
      <w:r>
        <w:t xml:space="preserve">Business Risks</w:t>
      </w:r>
    </w:p>
    <w:p>
      <w:pPr>
        <w:pStyle w:val="ListParagraph"/>
        <w:numPr>
          <w:ilvl w:val="0"/>
          <w:numId w:val="1"/>
        </w:numPr>
        <w:spacing w:after="90"/>
      </w:pPr>
      <w:r>
        <w:t xml:space="preserve">Concentration risk in Texas: the state generated substantial sales but posted a $25.7K loss — the single worst-performing state — indicating a regional pricing, cost, or discounting issue that could be replicated elsewhere if unaddressed.</w:t>
      </w:r>
    </w:p>
    <w:p>
      <w:pPr>
        <w:pStyle w:val="ListParagraph"/>
        <w:numPr>
          <w:ilvl w:val="0"/>
          <w:numId w:val="1"/>
        </w:numPr>
        <w:spacing w:after="90"/>
      </w:pPr>
      <w:r>
        <w:t xml:space="preserve">Margin erosion from discounting: because deeper discounts correlate with lower profit, current promotional practices may be quietly destroying value even as headline sales figures look healthy.</w:t>
      </w:r>
    </w:p>
    <w:p>
      <w:pPr>
        <w:pStyle w:val="ListParagraph"/>
        <w:numPr>
          <w:ilvl w:val="0"/>
          <w:numId w:val="1"/>
        </w:numPr>
        <w:spacing w:after="90"/>
      </w:pPr>
      <w:r>
        <w:t xml:space="preserve">Category concentration: Technology and Office Supplies together generate over 85% of company profit — over-reliance on two categories leaves the business exposed if demand in either softens.</w:t>
      </w:r>
    </w:p>
    <w:p>
      <w:pPr>
        <w:pStyle w:val="Heading2"/>
        <w:spacing w:before="200"/>
      </w:pPr>
      <w:r>
        <w:t xml:space="preserve">Business Opportunities</w:t>
      </w:r>
    </w:p>
    <w:p>
      <w:pPr>
        <w:pStyle w:val="ListParagraph"/>
        <w:numPr>
          <w:ilvl w:val="0"/>
          <w:numId w:val="1"/>
        </w:numPr>
        <w:spacing w:after="90"/>
      </w:pPr>
      <w:r>
        <w:t xml:space="preserve">Copiers is the most profitable sub-category by margin (37% profit margin on $149.5K sales) — an under-scaled, high-margin line that could be expanded or promoted more aggressively.</w:t>
      </w:r>
    </w:p>
    <w:p>
      <w:pPr>
        <w:pStyle w:val="ListParagraph"/>
        <w:numPr>
          <w:ilvl w:val="0"/>
          <w:numId w:val="1"/>
        </w:numPr>
        <w:spacing w:after="90"/>
      </w:pPr>
      <w:r>
        <w:t xml:space="preserve">The West region's playbook (highest sales AND highest profit) can likely be studied and partially replicated in the underperforming Central region.</w:t>
      </w:r>
    </w:p>
    <w:p>
      <w:pPr>
        <w:pStyle w:val="ListParagraph"/>
        <w:numPr>
          <w:ilvl w:val="0"/>
          <w:numId w:val="1"/>
        </w:numPr>
        <w:spacing w:after="90"/>
      </w:pPr>
      <w:r>
        <w:t xml:space="preserve">Correcting pricing/discount policy on Tables and Bookcases alone could recover over $21K in lost profit annually without any change in sales volume.</w:t>
      </w:r>
    </w:p>
    <w:p>
      <w:pPr>
        <w:pStyle w:val="Heading2"/>
        <w:spacing w:before="200"/>
      </w:pPr>
      <w:r>
        <w:t xml:space="preserve">Recommendations</w:t>
      </w:r>
    </w:p>
    <w:p>
      <w:pPr>
        <w:pStyle w:val="ListParagraph"/>
        <w:numPr>
          <w:ilvl w:val="0"/>
          <w:numId w:val="1"/>
        </w:numPr>
        <w:spacing w:after="90"/>
      </w:pPr>
      <w:r>
        <w:t xml:space="preserve">Review and cap discounting on Tables, Bookcases, and other loss-making sub-categories — current discount levels are not generating enough incremental volume to offset the margin lost.</w:t>
      </w:r>
    </w:p>
    <w:p>
      <w:pPr>
        <w:pStyle w:val="ListParagraph"/>
        <w:numPr>
          <w:ilvl w:val="0"/>
          <w:numId w:val="1"/>
        </w:numPr>
        <w:spacing w:after="90"/>
      </w:pPr>
      <w:r>
        <w:t xml:space="preserve">Investigate root causes of Central region and Texas underperformance (freight costs, local pricing, discount approval practices) and pilot corrective pricing there.</w:t>
      </w:r>
    </w:p>
    <w:p>
      <w:pPr>
        <w:pStyle w:val="ListParagraph"/>
        <w:numPr>
          <w:ilvl w:val="0"/>
          <w:numId w:val="1"/>
        </w:numPr>
        <w:spacing w:after="90"/>
      </w:pPr>
      <w:r>
        <w:t xml:space="preserve">Reallocate marketing and inventory investment toward Technology and Copiers, the highest-margin lines, rather than spreading spend evenly across categories.</w:t>
      </w:r>
    </w:p>
    <w:p>
      <w:pPr>
        <w:pStyle w:val="ListParagraph"/>
        <w:numPr>
          <w:ilvl w:val="0"/>
          <w:numId w:val="1"/>
        </w:numPr>
        <w:spacing w:after="90"/>
      </w:pPr>
      <w:r>
        <w:t xml:space="preserve">Set a discount governance policy (e.g. approval required above a defined discount threshold) given the negative correlation between discount depth and profit.</w:t>
      </w:r>
    </w:p>
    <w:p>
      <w:pPr>
        <w:pStyle w:val="ListParagraph"/>
        <w:numPr>
          <w:ilvl w:val="0"/>
          <w:numId w:val="1"/>
        </w:numPr>
        <w:spacing w:after="90"/>
      </w:pPr>
      <w:r>
        <w:t xml:space="preserve">Use the Consumer segment's outsized contribution to design segment-specific retention and loyalty offers, since it is the company's single largest profit driver.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2026-08-14T20:54:42.159Z</dcterms:created>
  <dcterms:modified xsi:type="dcterms:W3CDTF">2026-08-14T20:54:42.159Z</dcterms:modified>
</cp:coreProperties>
</file>

<file path=docProps/custom.xml><?xml version="1.0" encoding="utf-8"?>
<Properties xmlns="http://schemas.openxmlformats.org/officeDocument/2006/custom-properties" xmlns:vt="http://schemas.openxmlformats.org/officeDocument/2006/docPropsVTypes"/>
</file>