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DATASET INSPECTION REPORT</w:t>
      </w:r>
    </w:p>
    <w:p>
      <w:pPr>
        <w:jc w:val="center"/>
      </w:pPr>
      <w:r>
        <w:rPr>
          <w:b/>
          <w:sz w:val="28"/>
        </w:rPr>
        <w:t>Customer Churn Analysis – Week One Assignment</w:t>
      </w:r>
    </w:p>
    <w:p>
      <w:pPr>
        <w:pStyle w:val="Heading1"/>
      </w:pPr>
      <w:r>
        <w:t>1. Executive Summary</w:t>
      </w:r>
    </w:p>
    <w:p>
      <w:r>
        <w:t>The dataset contains 7,043 customer records and 21 business-related fields covering customer demographics, services, contract type, payment method, charges and churn. Overall churn is 26.5% (1,869 customers), while 73.5% remained. The analysis shows that contract structure, tenure, internet service and payment behaviour are the most useful business signals for identifying churn risk.</w:t>
      </w:r>
    </w:p>
    <w:p>
      <w:pPr>
        <w:pStyle w:val="Heading1"/>
      </w:pPr>
      <w:r>
        <w:t>2. Dataset Structure and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Inspection item</w:t>
            </w:r>
          </w:p>
        </w:tc>
        <w:tc>
          <w:tcPr>
            <w:tcW w:type="dxa" w:w="5112"/>
          </w:tcPr>
          <w:p>
            <w:r>
              <w:t>Result</w:t>
            </w:r>
          </w:p>
        </w:tc>
      </w:tr>
      <w:tr>
        <w:tc>
          <w:tcPr>
            <w:tcW w:type="dxa" w:w="5112"/>
          </w:tcPr>
          <w:p>
            <w:r>
              <w:t>Number of records</w:t>
            </w:r>
          </w:p>
        </w:tc>
        <w:tc>
          <w:tcPr>
            <w:tcW w:type="dxa" w:w="5112"/>
          </w:tcPr>
          <w:p>
            <w:r>
              <w:t>7,043</w:t>
            </w:r>
          </w:p>
        </w:tc>
      </w:tr>
      <w:tr>
        <w:tc>
          <w:tcPr>
            <w:tcW w:type="dxa" w:w="5112"/>
          </w:tcPr>
          <w:p>
            <w:r>
              <w:t>Number of fields</w:t>
            </w:r>
          </w:p>
        </w:tc>
        <w:tc>
          <w:tcPr>
            <w:tcW w:type="dxa" w:w="5112"/>
          </w:tcPr>
          <w:p>
            <w:r>
              <w:t>21</w:t>
            </w:r>
          </w:p>
        </w:tc>
      </w:tr>
      <w:tr>
        <w:tc>
          <w:tcPr>
            <w:tcW w:type="dxa" w:w="5112"/>
          </w:tcPr>
          <w:p>
            <w:r>
              <w:t>Duplicate rows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Missing values</w:t>
            </w:r>
          </w:p>
        </w:tc>
        <w:tc>
          <w:tcPr>
            <w:tcW w:type="dxa" w:w="5112"/>
          </w:tcPr>
          <w:p>
            <w:r>
              <w:t>11 in TotalCharges</w:t>
            </w:r>
          </w:p>
        </w:tc>
      </w:tr>
      <w:tr>
        <w:tc>
          <w:tcPr>
            <w:tcW w:type="dxa" w:w="5112"/>
          </w:tcPr>
          <w:p>
            <w:r>
              <w:t>Overall churn</w:t>
            </w:r>
          </w:p>
        </w:tc>
        <w:tc>
          <w:tcPr>
            <w:tcW w:type="dxa" w:w="5112"/>
          </w:tcPr>
          <w:p>
            <w:r>
              <w:t>26.5%</w:t>
            </w:r>
          </w:p>
        </w:tc>
      </w:tr>
      <w:tr>
        <w:tc>
          <w:tcPr>
            <w:tcW w:type="dxa" w:w="5112"/>
          </w:tcPr>
          <w:p>
            <w:r>
              <w:t>Average monthly charge</w:t>
            </w:r>
          </w:p>
        </w:tc>
        <w:tc>
          <w:tcPr>
            <w:tcW w:type="dxa" w:w="5112"/>
          </w:tcPr>
          <w:p>
            <w:r>
              <w:t>$64.76</w:t>
            </w:r>
          </w:p>
        </w:tc>
      </w:tr>
      <w:tr>
        <w:tc>
          <w:tcPr>
            <w:tcW w:type="dxa" w:w="5112"/>
          </w:tcPr>
          <w:p>
            <w:r>
              <w:t>Average total charge</w:t>
            </w:r>
          </w:p>
        </w:tc>
        <w:tc>
          <w:tcPr>
            <w:tcW w:type="dxa" w:w="5112"/>
          </w:tcPr>
          <w:p>
            <w:r>
              <w:t>$2,283.30</w:t>
            </w:r>
          </w:p>
        </w:tc>
      </w:tr>
    </w:tbl>
    <w:p>
      <w:r>
        <w:t>Data-quality note: TotalCharges contains 11 missing values. These should be validated before financial or customer-value calculations. The workbook also contains analysis outputs alongside the raw dataset; for future work, keeping raw data, calculations and presentation outputs in separate sheets/files will improve auditability.</w:t>
      </w:r>
    </w:p>
    <w:p>
      <w:pPr>
        <w:pStyle w:val="Heading1"/>
      </w:pPr>
      <w:r>
        <w:t>3. Key Findings</w:t>
      </w:r>
    </w:p>
    <w:p>
      <w:pPr>
        <w:pStyle w:val="ListBullet"/>
      </w:pPr>
      <w:r>
        <w:t>Contract flexibility is the strongest observed churn signal: month-to-month customers churn at 42.7%, compared with 2.8% for two-year contracts.</w:t>
      </w:r>
    </w:p>
    <w:p>
      <w:pPr>
        <w:pStyle w:val="ListBullet"/>
      </w:pPr>
      <w:r>
        <w:t>Churn is highest among customers with fibre-optic internet (41.9%), suggesting a potential service-quality, pricing or expectation gap in the premium segment.</w:t>
      </w:r>
    </w:p>
    <w:p>
      <w:pPr>
        <w:pStyle w:val="ListBullet"/>
      </w:pPr>
      <w:r>
        <w:t>Electronic-check users have the highest churn rate (45.3%), compared with 15.2% for automatic credit-card payments.</w:t>
      </w:r>
    </w:p>
    <w:p>
      <w:pPr>
        <w:pStyle w:val="ListBullet"/>
      </w:pPr>
      <w:r>
        <w:t>Early-tenure customers are materially more vulnerable: churn is 47.4% in the first 12 months versus 6.6% among customers with 61–72 months of tenure.</w:t>
      </w:r>
    </w:p>
    <w:p>
      <w:pPr>
        <w:pStyle w:val="ListBullet"/>
      </w:pPr>
      <w:r>
        <w:t>Customers without add-on services such as online security, device protection and technical support show higher churn, indicating an opportunity for retention-focused service bundling.</w:t>
      </w:r>
    </w:p>
    <w:p>
      <w:pPr>
        <w:pStyle w:val="Heading1"/>
      </w:pPr>
      <w:r>
        <w:t>4. Business Risks</w:t>
      </w:r>
    </w:p>
    <w:p>
      <w:pPr>
        <w:pStyle w:val="ListBullet"/>
      </w:pPr>
      <w:r>
        <w:t>Revenue concentration risk: high-value fibre customers are also highly exposed to churn.</w:t>
      </w:r>
    </w:p>
    <w:p>
      <w:pPr>
        <w:pStyle w:val="ListBullet"/>
      </w:pPr>
      <w:r>
        <w:t>Short-contract exposure: the large month-to-month base can switch providers quickly.</w:t>
      </w:r>
    </w:p>
    <w:p>
      <w:pPr>
        <w:pStyle w:val="ListBullet"/>
      </w:pPr>
      <w:r>
        <w:t>First-year retention risk: losing customers early reduces lifetime value and increases acquisition pressure.</w:t>
      </w:r>
    </w:p>
    <w:p>
      <w:pPr>
        <w:pStyle w:val="ListBullet"/>
      </w:pPr>
      <w:r>
        <w:t>Payment-friction risk: electronic-check customers show substantially higher churn and may benefit from payment migration campaigns.</w:t>
      </w:r>
    </w:p>
    <w:p>
      <w:pPr>
        <w:pStyle w:val="Heading1"/>
      </w:pPr>
      <w:r>
        <w:t>5. Recommendations</w:t>
      </w:r>
    </w:p>
    <w:p>
      <w:pPr>
        <w:pStyle w:val="ListNumber"/>
      </w:pPr>
      <w:r>
        <w:t>Prioritise conversion of suitable month-to-month customers to one- or two-year plans using targeted incentives rather than blanket discounts.</w:t>
      </w:r>
    </w:p>
    <w:p>
      <w:pPr>
        <w:pStyle w:val="ListNumber"/>
      </w:pPr>
      <w:r>
        <w:t>Create a first-year retention programme with onboarding checkpoints around months 1, 3, 6 and 12.</w:t>
      </w:r>
    </w:p>
    <w:p>
      <w:pPr>
        <w:pStyle w:val="ListNumber"/>
      </w:pPr>
      <w:r>
        <w:t>Investigate fibre-optic complaints, outages, perceived value and pricing; segment churn by service tenure and monthly charges.</w:t>
      </w:r>
    </w:p>
    <w:p>
      <w:pPr>
        <w:pStyle w:val="ListNumber"/>
      </w:pPr>
      <w:r>
        <w:t>Promote automatic payment methods and make migration from electronic checks simple, transparent and incentive-led.</w:t>
      </w:r>
    </w:p>
    <w:p>
      <w:pPr>
        <w:pStyle w:val="ListNumber"/>
      </w:pPr>
      <w:r>
        <w:t>Bundle security, technical support and device protection into retention offers for customers showing early warning signals.</w:t>
      </w:r>
    </w:p>
    <w:p>
      <w:pPr>
        <w:pStyle w:val="ListNumber"/>
      </w:pPr>
      <w:r>
        <w:t>Build a recurring churn dashboard tracking churn rate, contract mix, tenure, service type, payment method and customer value.</w:t>
      </w:r>
    </w:p>
    <w:p>
      <w:pPr>
        <w:pStyle w:val="Heading1"/>
      </w:pPr>
      <w:r>
        <w:t>6. Suggested Business Presentation Flow</w:t>
      </w:r>
    </w:p>
    <w:p>
      <w:pPr>
        <w:pStyle w:val="ListBullet"/>
      </w:pPr>
      <w:r>
        <w:t>Business problem: customer churn threatens recurring revenue and customer lifetime value.</w:t>
      </w:r>
    </w:p>
    <w:p>
      <w:pPr>
        <w:pStyle w:val="ListBullet"/>
      </w:pPr>
      <w:r>
        <w:t>Dataset overview and quality checks.</w:t>
      </w:r>
    </w:p>
    <w:p>
      <w:pPr>
        <w:pStyle w:val="ListBullet"/>
      </w:pPr>
      <w:r>
        <w:t>Headline churn result.</w:t>
      </w:r>
    </w:p>
    <w:p>
      <w:pPr>
        <w:pStyle w:val="ListBullet"/>
      </w:pPr>
      <w:r>
        <w:t>Drivers: contract, tenure, internet service and payment method.</w:t>
      </w:r>
    </w:p>
    <w:p>
      <w:pPr>
        <w:pStyle w:val="ListBullet"/>
      </w:pPr>
      <w:r>
        <w:t>Business risks and priority customer segments.</w:t>
      </w:r>
    </w:p>
    <w:p>
      <w:pPr>
        <w:pStyle w:val="ListBullet"/>
      </w:pPr>
      <w:r>
        <w:t>Recommended actions and next steps.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