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93C" w:rsidRDefault="0038769C">
      <w:pPr>
        <w:spacing w:after="40"/>
        <w:jc w:val="center"/>
      </w:pPr>
      <w:r>
        <w:rPr>
          <w:b/>
          <w:bCs/>
          <w:color w:val="1D3557"/>
          <w:sz w:val="34"/>
          <w:szCs w:val="34"/>
        </w:rPr>
        <w:t>BUSINESS UNDERSTANDING REPORT</w:t>
      </w:r>
    </w:p>
    <w:p w:rsidR="0089193C" w:rsidRPr="00AF7659" w:rsidRDefault="00AF7659" w:rsidP="00AF7659">
      <w:pPr>
        <w:spacing w:after="200"/>
        <w:jc w:val="center"/>
      </w:pPr>
      <w:r>
        <w:rPr>
          <w:iCs/>
          <w:color w:val="6B7280"/>
          <w:sz w:val="18"/>
          <w:szCs w:val="18"/>
        </w:rPr>
        <w:t>ABC Communications Customer Churn</w:t>
      </w:r>
    </w:p>
    <w:p w:rsidR="0089193C" w:rsidRDefault="0038769C">
      <w:pPr>
        <w:pStyle w:val="Heading1"/>
        <w:spacing w:before="200" w:after="100"/>
      </w:pPr>
      <w:r>
        <w:rPr>
          <w:b/>
          <w:bCs/>
          <w:color w:val="1D3557"/>
          <w:sz w:val="26"/>
          <w:szCs w:val="26"/>
        </w:rPr>
        <w:t>1. What Is Customer Churn?</w:t>
      </w:r>
    </w:p>
    <w:p w:rsidR="0089193C" w:rsidRDefault="00AF7659">
      <w:pPr>
        <w:spacing w:after="120" w:line="276" w:lineRule="auto"/>
      </w:pPr>
      <w:r>
        <w:t>Customer churn which is</w:t>
      </w:r>
      <w:r w:rsidR="0038769C">
        <w:t xml:space="preserve"> </w:t>
      </w:r>
      <w:r w:rsidR="001D05E5">
        <w:t>also called customer attrition</w:t>
      </w:r>
      <w:r w:rsidR="0038769C">
        <w:t xml:space="preserve"> is the rate at which customers stop doing business with a company over a given period. In subscription industries such as telecom, it is typically measured as the percentage of subscribers who cancel or fai</w:t>
      </w:r>
      <w:r w:rsidR="0038769C">
        <w:t xml:space="preserve">l to renew their service within a month, quarter, or year. Churn is usually split into two types: voluntary churn, where a customer actively cancels (e.g., switching to a competitor or cutting the service entirely), and involuntary churn, caused by failed </w:t>
      </w:r>
      <w:r w:rsidR="0038769C">
        <w:t>payments or billing issues rather than customer choice.</w:t>
      </w:r>
    </w:p>
    <w:p w:rsidR="0089193C" w:rsidRDefault="0038769C">
      <w:pPr>
        <w:pStyle w:val="Heading1"/>
        <w:spacing w:before="200" w:after="100"/>
      </w:pPr>
      <w:r>
        <w:rPr>
          <w:b/>
          <w:bCs/>
          <w:color w:val="1D3557"/>
          <w:sz w:val="26"/>
          <w:szCs w:val="26"/>
        </w:rPr>
        <w:t>2. Why Churn Matters to the Business</w:t>
      </w:r>
    </w:p>
    <w:p w:rsidR="0089193C" w:rsidRDefault="0038769C">
      <w:pPr>
        <w:spacing w:after="120" w:line="276" w:lineRule="auto"/>
      </w:pPr>
      <w:r>
        <w:t>Churn is one of the most closely watched metrics in subscription businesses because it directly determines recurring revenue and growth efficiency. Research consis</w:t>
      </w:r>
      <w:r>
        <w:t>tently shows that acquiring a new customer costs far mor</w:t>
      </w:r>
      <w:r w:rsidR="00F245FD">
        <w:t xml:space="preserve">e than keeping an existing </w:t>
      </w:r>
      <w:proofErr w:type="gramStart"/>
      <w:r w:rsidR="00F245FD">
        <w:t xml:space="preserve">one </w:t>
      </w:r>
      <w:bookmarkStart w:id="0" w:name="_GoBack"/>
      <w:bookmarkEnd w:id="0"/>
      <w:r>
        <w:t xml:space="preserve"> commonly</w:t>
      </w:r>
      <w:proofErr w:type="gramEnd"/>
      <w:r>
        <w:t xml:space="preserve"> cited estimates range from about 5 times to as much as 25 times more expensive, depending on the industry and sales model. Existing customers are also dramati</w:t>
      </w:r>
      <w:r>
        <w:t>cally easier to sell to: studies put the probability of selling to an existing customer at 60-70%, compared with only 5-20% for a new prospect. Small improvements in retention co</w:t>
      </w:r>
      <w:r w:rsidR="00AF7659">
        <w:t>mpound into large profit gains.</w:t>
      </w:r>
      <w:r>
        <w:t xml:space="preserve"> Bain &amp; Company's often-cited research found t</w:t>
      </w:r>
      <w:r>
        <w:t>hat increasing retention by just 5% can lift profits by 25-95%, because loyal customers stay longer, spend more per visit, and are more likely to try new products.</w:t>
      </w:r>
    </w:p>
    <w:p w:rsidR="0089193C" w:rsidRDefault="0038769C">
      <w:pPr>
        <w:spacing w:after="120" w:line="276" w:lineRule="auto"/>
      </w:pPr>
      <w:r>
        <w:t>For ABC Communications, this means every percentage point of churn reduction is worth pursui</w:t>
      </w:r>
      <w:r>
        <w:t>ng: the customers already on the books are both cheaper to retain and more profitable to serve than the new customers who would be needed to replace them.</w:t>
      </w:r>
    </w:p>
    <w:p w:rsidR="0089193C" w:rsidRDefault="0038769C">
      <w:pPr>
        <w:pStyle w:val="Heading1"/>
        <w:spacing w:before="200" w:after="100"/>
      </w:pPr>
      <w:r>
        <w:rPr>
          <w:b/>
          <w:bCs/>
          <w:color w:val="1D3557"/>
          <w:sz w:val="26"/>
          <w:szCs w:val="26"/>
        </w:rPr>
        <w:t>3. Telecom Industry Churn Benchmarks</w:t>
      </w:r>
    </w:p>
    <w:p w:rsidR="0089193C" w:rsidRDefault="0038769C">
      <w:pPr>
        <w:spacing w:after="120" w:line="276" w:lineRule="auto"/>
      </w:pPr>
      <w:r>
        <w:t>Customer churn is a particularly acute problem in telecommunicat</w:t>
      </w:r>
      <w:r>
        <w:t>ions. Industry benchmark studies place average annual telecom churn in the range of roughly 15-25%, with some sources narrowing this to about 21</w:t>
      </w:r>
      <w:r w:rsidR="00AF7659">
        <w:t xml:space="preserve">-22% for the sector as a </w:t>
      </w:r>
      <w:proofErr w:type="gramStart"/>
      <w:r w:rsidR="00AF7659">
        <w:t xml:space="preserve">whole </w:t>
      </w:r>
      <w:r>
        <w:t xml:space="preserve"> </w:t>
      </w:r>
      <w:r w:rsidR="00AF7659">
        <w:t>which</w:t>
      </w:r>
      <w:proofErr w:type="gramEnd"/>
      <w:r w:rsidR="00AF7659">
        <w:t xml:space="preserve"> is </w:t>
      </w:r>
      <w:r>
        <w:t>among the highest of any major industry, alongside retail and logistics, and we</w:t>
      </w:r>
      <w:r>
        <w:t>ll above sectors like healthcare and financial services. The gap is even starker by contract structure: prepaid, no-contract customers can churn at rates up to 70% annually in some markets because there is no penalty for switching providers, while postpaid</w:t>
      </w:r>
      <w:r>
        <w:t>, contract-bound customers typically churn at a much lower 10-20%, since cancellation carries a cost or commitment. Regionally, churn also varies with market maturity and competitive intensity, with some fast-growing, price-sensitive markets reporting chur</w:t>
      </w:r>
      <w:r>
        <w:t>n well above the global average.</w:t>
      </w:r>
    </w:p>
    <w:p w:rsidR="0089193C" w:rsidRDefault="0038769C">
      <w:pPr>
        <w:spacing w:after="120" w:line="276" w:lineRule="auto"/>
      </w:pPr>
      <w:r>
        <w:t xml:space="preserve">These figures give useful context for ABC Communications' own results: the dataset </w:t>
      </w:r>
      <w:r w:rsidR="00AF7659">
        <w:t>analyzed</w:t>
      </w:r>
      <w:r>
        <w:t xml:space="preserve"> for this project shows an overall churn rate of 26.5%, placing the company at the high end of typical telecom benchmarks and reinfo</w:t>
      </w:r>
      <w:r>
        <w:t>rcing that retention should be a strategic priority, not a secondary concern.</w:t>
      </w:r>
    </w:p>
    <w:p w:rsidR="0089193C" w:rsidRDefault="0038769C">
      <w:pPr>
        <w:pStyle w:val="Heading1"/>
        <w:spacing w:before="200" w:after="100"/>
      </w:pPr>
      <w:r>
        <w:rPr>
          <w:b/>
          <w:bCs/>
          <w:color w:val="1D3557"/>
          <w:sz w:val="26"/>
          <w:szCs w:val="26"/>
        </w:rPr>
        <w:t>4. Common Causes of Telecom Churn</w:t>
      </w:r>
    </w:p>
    <w:p w:rsidR="0089193C" w:rsidRDefault="00AF7659">
      <w:pPr>
        <w:pStyle w:val="ListParagraph"/>
        <w:numPr>
          <w:ilvl w:val="0"/>
          <w:numId w:val="2"/>
        </w:numPr>
        <w:spacing w:after="60" w:line="264" w:lineRule="auto"/>
      </w:pPr>
      <w:r>
        <w:t>Contract flexibility:</w:t>
      </w:r>
      <w:r w:rsidR="0038769C">
        <w:t xml:space="preserve"> customers on no-contract or month-to-month plans face no switching penalty and churn at multiples of the rate seen among </w:t>
      </w:r>
      <w:r w:rsidR="0038769C">
        <w:t>contract-bound customers.</w:t>
      </w:r>
    </w:p>
    <w:p w:rsidR="0089193C" w:rsidRDefault="0038769C">
      <w:pPr>
        <w:pStyle w:val="ListParagraph"/>
        <w:numPr>
          <w:ilvl w:val="0"/>
          <w:numId w:val="2"/>
        </w:numPr>
        <w:spacing w:after="60" w:line="264" w:lineRule="auto"/>
      </w:pPr>
      <w:r>
        <w:t>S</w:t>
      </w:r>
      <w:r w:rsidR="00AF7659">
        <w:t>ervice quality and reliability:</w:t>
      </w:r>
      <w:r>
        <w:t xml:space="preserve"> network performance, outages, and slow issue resolution are consistently cited as leading drivers of dissatisfaction and cancellation.</w:t>
      </w:r>
    </w:p>
    <w:p w:rsidR="0089193C" w:rsidRDefault="00AF7659">
      <w:pPr>
        <w:pStyle w:val="ListParagraph"/>
        <w:numPr>
          <w:ilvl w:val="0"/>
          <w:numId w:val="2"/>
        </w:numPr>
        <w:spacing w:after="60" w:line="264" w:lineRule="auto"/>
      </w:pPr>
      <w:r>
        <w:t>Price and perceived value:</w:t>
      </w:r>
      <w:r w:rsidR="0038769C">
        <w:t xml:space="preserve"> price increases or a mismatch bet</w:t>
      </w:r>
      <w:r w:rsidR="0038769C">
        <w:t>ween what customers pay and the value they receive (particularly for premium services) push price-sensitive customers toward competitors.</w:t>
      </w:r>
    </w:p>
    <w:p w:rsidR="0089193C" w:rsidRDefault="00AF7659">
      <w:pPr>
        <w:pStyle w:val="ListParagraph"/>
        <w:numPr>
          <w:ilvl w:val="0"/>
          <w:numId w:val="2"/>
        </w:numPr>
        <w:spacing w:after="60" w:line="264" w:lineRule="auto"/>
      </w:pPr>
      <w:r>
        <w:t>Weak customer support:</w:t>
      </w:r>
      <w:r w:rsidR="0038769C">
        <w:t xml:space="preserve"> slow, inconsistent, or hard-to-reach support erodes trust; industry research links poor servic</w:t>
      </w:r>
      <w:r w:rsidR="0038769C">
        <w:t>e experiences directly to higher switching intent.</w:t>
      </w:r>
    </w:p>
    <w:p w:rsidR="0089193C" w:rsidRDefault="00AF7659">
      <w:pPr>
        <w:pStyle w:val="ListParagraph"/>
        <w:numPr>
          <w:ilvl w:val="0"/>
          <w:numId w:val="2"/>
        </w:numPr>
        <w:spacing w:after="60" w:line="264" w:lineRule="auto"/>
      </w:pPr>
      <w:r>
        <w:t>Billing and payment friction:</w:t>
      </w:r>
      <w:r w:rsidR="0038769C">
        <w:t xml:space="preserve"> failed or manual payments contribute to involuntary churn, and cumbersome billing processes reduce customer satisfaction over time.</w:t>
      </w:r>
    </w:p>
    <w:p w:rsidR="0089193C" w:rsidRDefault="00AF7659">
      <w:pPr>
        <w:pStyle w:val="ListParagraph"/>
        <w:numPr>
          <w:ilvl w:val="0"/>
          <w:numId w:val="2"/>
        </w:numPr>
        <w:spacing w:after="60" w:line="264" w:lineRule="auto"/>
      </w:pPr>
      <w:r>
        <w:t>Early-life disengagement:</w:t>
      </w:r>
      <w:r w:rsidR="0038769C">
        <w:t xml:space="preserve"> new customers w</w:t>
      </w:r>
      <w:r w:rsidR="0038769C">
        <w:t>ho do not quickly experience the product's value are significantly more likely to cancel within their first months than long-tenured customers.</w:t>
      </w:r>
    </w:p>
    <w:p w:rsidR="0089193C" w:rsidRDefault="0038769C">
      <w:pPr>
        <w:pStyle w:val="Heading1"/>
        <w:spacing w:before="200" w:after="100"/>
      </w:pPr>
      <w:r>
        <w:rPr>
          <w:b/>
          <w:bCs/>
          <w:color w:val="1D3557"/>
          <w:sz w:val="26"/>
          <w:szCs w:val="26"/>
        </w:rPr>
        <w:lastRenderedPageBreak/>
        <w:t>5. Implications for This Analysis</w:t>
      </w:r>
    </w:p>
    <w:p w:rsidR="0089193C" w:rsidRDefault="0038769C">
      <w:pPr>
        <w:spacing w:after="120" w:line="276" w:lineRule="auto"/>
      </w:pPr>
      <w:r>
        <w:t>Given this industry context, the data analysis that follows in this project sp</w:t>
      </w:r>
      <w:r>
        <w:t>ecifically investigates whether ABC Communications' churn follows these well-documented industry patterns — including the roles of contract type, tenure, service type, and payment method — so that retention recommendations can be grounded in both the compa</w:t>
      </w:r>
      <w:r>
        <w:t>ny's own data and established telecom industry practice.</w:t>
      </w:r>
    </w:p>
    <w:p w:rsidR="0089193C" w:rsidRDefault="0089193C">
      <w:pPr>
        <w:pBdr>
          <w:top w:val="single" w:sz="4" w:space="0" w:color="D1D5DB"/>
        </w:pBdr>
        <w:spacing w:before="200"/>
      </w:pPr>
    </w:p>
    <w:p w:rsidR="0089193C" w:rsidRDefault="0038769C">
      <w:pPr>
        <w:pStyle w:val="Heading2"/>
        <w:spacing w:before="160" w:after="80"/>
      </w:pPr>
      <w:r>
        <w:rPr>
          <w:b/>
          <w:bCs/>
          <w:color w:val="2E86AB"/>
          <w:sz w:val="22"/>
          <w:szCs w:val="22"/>
        </w:rPr>
        <w:t>Sources</w:t>
      </w:r>
    </w:p>
    <w:p w:rsidR="0089193C" w:rsidRDefault="001D05E5">
      <w:pPr>
        <w:spacing w:after="40"/>
      </w:pPr>
      <w:proofErr w:type="spellStart"/>
      <w:r>
        <w:rPr>
          <w:color w:val="6B7280"/>
          <w:sz w:val="16"/>
          <w:szCs w:val="16"/>
        </w:rPr>
        <w:t>CustomerGauge</w:t>
      </w:r>
      <w:proofErr w:type="spellEnd"/>
      <w:r>
        <w:rPr>
          <w:color w:val="6B7280"/>
          <w:sz w:val="16"/>
          <w:szCs w:val="16"/>
        </w:rPr>
        <w:t>:</w:t>
      </w:r>
      <w:r w:rsidR="0038769C">
        <w:rPr>
          <w:color w:val="6B7280"/>
          <w:sz w:val="16"/>
          <w:szCs w:val="16"/>
        </w:rPr>
        <w:t xml:space="preserve"> "Average Churn Rate by Industry" (2025 B2B Benchmarks); "Telecom NPS Benchmarks &amp; CX Trends" (2025</w:t>
      </w:r>
      <w:proofErr w:type="gramStart"/>
      <w:r w:rsidR="0038769C">
        <w:rPr>
          <w:color w:val="6B7280"/>
          <w:sz w:val="16"/>
          <w:szCs w:val="16"/>
        </w:rPr>
        <w:t xml:space="preserve">) </w:t>
      </w:r>
      <w:r w:rsidR="0038769C">
        <w:rPr>
          <w:color w:val="6B7280"/>
          <w:sz w:val="16"/>
          <w:szCs w:val="16"/>
        </w:rPr>
        <w:t xml:space="preserve"> customergauge.com</w:t>
      </w:r>
      <w:proofErr w:type="gramEnd"/>
    </w:p>
    <w:p w:rsidR="0089193C" w:rsidRDefault="0038769C">
      <w:pPr>
        <w:spacing w:after="40"/>
      </w:pPr>
      <w:r>
        <w:rPr>
          <w:color w:val="6B7280"/>
          <w:sz w:val="16"/>
          <w:szCs w:val="16"/>
        </w:rPr>
        <w:t>Focus Digital</w:t>
      </w:r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"Average Churn Rate by Industry" (2025</w:t>
      </w:r>
      <w:proofErr w:type="gramStart"/>
      <w:r>
        <w:rPr>
          <w:color w:val="6B7280"/>
          <w:sz w:val="16"/>
          <w:szCs w:val="16"/>
        </w:rPr>
        <w:t xml:space="preserve">) </w:t>
      </w:r>
      <w:r>
        <w:rPr>
          <w:color w:val="6B7280"/>
          <w:sz w:val="16"/>
          <w:szCs w:val="16"/>
        </w:rPr>
        <w:t xml:space="preserve"> focus</w:t>
      </w:r>
      <w:proofErr w:type="gramEnd"/>
      <w:r>
        <w:rPr>
          <w:color w:val="6B7280"/>
          <w:sz w:val="16"/>
          <w:szCs w:val="16"/>
        </w:rPr>
        <w:t>-digital.co</w:t>
      </w:r>
    </w:p>
    <w:p w:rsidR="0089193C" w:rsidRDefault="0038769C">
      <w:pPr>
        <w:spacing w:after="40"/>
      </w:pPr>
      <w:r>
        <w:rPr>
          <w:color w:val="6B7280"/>
          <w:sz w:val="16"/>
          <w:szCs w:val="16"/>
        </w:rPr>
        <w:t>Growth-</w:t>
      </w:r>
      <w:proofErr w:type="spellStart"/>
      <w:r>
        <w:rPr>
          <w:color w:val="6B7280"/>
          <w:sz w:val="16"/>
          <w:szCs w:val="16"/>
        </w:rPr>
        <w:t>onomics</w:t>
      </w:r>
      <w:proofErr w:type="spellEnd"/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"Churn Rate Benchmarks by Industry" (2025</w:t>
      </w:r>
      <w:proofErr w:type="gramStart"/>
      <w:r>
        <w:rPr>
          <w:color w:val="6B7280"/>
          <w:sz w:val="16"/>
          <w:szCs w:val="16"/>
        </w:rPr>
        <w:t xml:space="preserve">) </w:t>
      </w:r>
      <w:r>
        <w:rPr>
          <w:color w:val="6B7280"/>
          <w:sz w:val="16"/>
          <w:szCs w:val="16"/>
        </w:rPr>
        <w:t xml:space="preserve"> growth</w:t>
      </w:r>
      <w:proofErr w:type="gramEnd"/>
      <w:r>
        <w:rPr>
          <w:color w:val="6B7280"/>
          <w:sz w:val="16"/>
          <w:szCs w:val="16"/>
        </w:rPr>
        <w:t>-onomics.com</w:t>
      </w:r>
    </w:p>
    <w:p w:rsidR="0089193C" w:rsidRDefault="0038769C">
      <w:pPr>
        <w:spacing w:after="40"/>
      </w:pPr>
      <w:proofErr w:type="spellStart"/>
      <w:r>
        <w:rPr>
          <w:color w:val="6B7280"/>
          <w:sz w:val="16"/>
          <w:szCs w:val="16"/>
        </w:rPr>
        <w:t>Tridens</w:t>
      </w:r>
      <w:proofErr w:type="spellEnd"/>
      <w:r>
        <w:rPr>
          <w:color w:val="6B7280"/>
          <w:sz w:val="16"/>
          <w:szCs w:val="16"/>
        </w:rPr>
        <w:t xml:space="preserve"> Technology</w:t>
      </w:r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"Why Telecom Customers Churn and How to Measure It</w:t>
      </w:r>
      <w:proofErr w:type="gramStart"/>
      <w:r>
        <w:rPr>
          <w:color w:val="6B7280"/>
          <w:sz w:val="16"/>
          <w:szCs w:val="16"/>
        </w:rPr>
        <w:t xml:space="preserve">" </w:t>
      </w:r>
      <w:r>
        <w:rPr>
          <w:color w:val="6B7280"/>
          <w:sz w:val="16"/>
          <w:szCs w:val="16"/>
        </w:rPr>
        <w:t xml:space="preserve"> tridenstechnology.com</w:t>
      </w:r>
      <w:proofErr w:type="gramEnd"/>
    </w:p>
    <w:p w:rsidR="0089193C" w:rsidRDefault="0038769C">
      <w:pPr>
        <w:spacing w:after="40"/>
      </w:pPr>
      <w:proofErr w:type="spellStart"/>
      <w:r>
        <w:rPr>
          <w:color w:val="6B7280"/>
          <w:sz w:val="16"/>
          <w:szCs w:val="16"/>
        </w:rPr>
        <w:t>Inv</w:t>
      </w:r>
      <w:r>
        <w:rPr>
          <w:color w:val="6B7280"/>
          <w:sz w:val="16"/>
          <w:szCs w:val="16"/>
        </w:rPr>
        <w:t>esp</w:t>
      </w:r>
      <w:proofErr w:type="spellEnd"/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"Customer Acquisition vs. Retention Costs" (citing Harvard Business Review</w:t>
      </w:r>
      <w:proofErr w:type="gramStart"/>
      <w:r>
        <w:rPr>
          <w:color w:val="6B7280"/>
          <w:sz w:val="16"/>
          <w:szCs w:val="16"/>
        </w:rPr>
        <w:t xml:space="preserve">) </w:t>
      </w:r>
      <w:r>
        <w:rPr>
          <w:color w:val="6B7280"/>
          <w:sz w:val="16"/>
          <w:szCs w:val="16"/>
        </w:rPr>
        <w:t xml:space="preserve"> invespcro.com</w:t>
      </w:r>
      <w:proofErr w:type="gramEnd"/>
    </w:p>
    <w:p w:rsidR="0089193C" w:rsidRDefault="0038769C">
      <w:pPr>
        <w:spacing w:after="40"/>
      </w:pPr>
      <w:proofErr w:type="spellStart"/>
      <w:r>
        <w:rPr>
          <w:color w:val="6B7280"/>
          <w:sz w:val="16"/>
          <w:szCs w:val="16"/>
        </w:rPr>
        <w:t>MarkinBlog</w:t>
      </w:r>
      <w:proofErr w:type="spellEnd"/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"Customer Acquisition vs Retention Statistics" (2026</w:t>
      </w:r>
      <w:proofErr w:type="gramStart"/>
      <w:r>
        <w:rPr>
          <w:color w:val="6B7280"/>
          <w:sz w:val="16"/>
          <w:szCs w:val="16"/>
        </w:rPr>
        <w:t xml:space="preserve">) </w:t>
      </w:r>
      <w:r>
        <w:rPr>
          <w:color w:val="6B7280"/>
          <w:sz w:val="16"/>
          <w:szCs w:val="16"/>
        </w:rPr>
        <w:t xml:space="preserve"> markinblog.com</w:t>
      </w:r>
      <w:proofErr w:type="gramEnd"/>
    </w:p>
    <w:p w:rsidR="0089193C" w:rsidRDefault="0038769C">
      <w:pPr>
        <w:spacing w:after="40"/>
      </w:pPr>
      <w:proofErr w:type="spellStart"/>
      <w:proofErr w:type="gramStart"/>
      <w:r>
        <w:rPr>
          <w:color w:val="6B7280"/>
          <w:sz w:val="16"/>
          <w:szCs w:val="16"/>
        </w:rPr>
        <w:t>Kaggle</w:t>
      </w:r>
      <w:proofErr w:type="spellEnd"/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 xml:space="preserve"> Telco</w:t>
      </w:r>
      <w:proofErr w:type="gramEnd"/>
      <w:r w:rsidR="001D05E5">
        <w:rPr>
          <w:color w:val="6B7280"/>
          <w:sz w:val="16"/>
          <w:szCs w:val="16"/>
        </w:rPr>
        <w:t>:</w:t>
      </w:r>
      <w:r>
        <w:rPr>
          <w:color w:val="6B7280"/>
          <w:sz w:val="16"/>
          <w:szCs w:val="16"/>
        </w:rPr>
        <w:t xml:space="preserve"> Customer Churn dataset (</w:t>
      </w:r>
      <w:proofErr w:type="spellStart"/>
      <w:r>
        <w:rPr>
          <w:color w:val="6B7280"/>
          <w:sz w:val="16"/>
          <w:szCs w:val="16"/>
        </w:rPr>
        <w:t>blastchar</w:t>
      </w:r>
      <w:proofErr w:type="spellEnd"/>
      <w:r>
        <w:rPr>
          <w:color w:val="6B7280"/>
          <w:sz w:val="16"/>
          <w:szCs w:val="16"/>
        </w:rPr>
        <w:t xml:space="preserve">/telco-customer-churn) </w:t>
      </w:r>
      <w:r>
        <w:rPr>
          <w:color w:val="6B7280"/>
          <w:sz w:val="16"/>
          <w:szCs w:val="16"/>
        </w:rPr>
        <w:t xml:space="preserve"> a</w:t>
      </w:r>
      <w:r>
        <w:rPr>
          <w:color w:val="6B7280"/>
          <w:sz w:val="16"/>
          <w:szCs w:val="16"/>
        </w:rPr>
        <w:t>nalysis dataset for this project</w:t>
      </w:r>
    </w:p>
    <w:sectPr w:rsidR="0089193C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69C" w:rsidRDefault="0038769C">
      <w:r>
        <w:separator/>
      </w:r>
    </w:p>
  </w:endnote>
  <w:endnote w:type="continuationSeparator" w:id="0">
    <w:p w:rsidR="0038769C" w:rsidRDefault="0038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93C" w:rsidRDefault="0038769C">
    <w:pPr>
      <w:jc w:val="center"/>
    </w:pPr>
    <w:r>
      <w:rPr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 w:rsidR="000B7E95">
      <w:rPr>
        <w:color w:val="6B7280"/>
        <w:sz w:val="15"/>
        <w:szCs w:val="15"/>
      </w:rPr>
      <w:fldChar w:fldCharType="separate"/>
    </w:r>
    <w:r w:rsidR="00F245FD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69C" w:rsidRDefault="0038769C">
      <w:r>
        <w:separator/>
      </w:r>
    </w:p>
  </w:footnote>
  <w:footnote w:type="continuationSeparator" w:id="0">
    <w:p w:rsidR="0038769C" w:rsidRDefault="00387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93C" w:rsidRDefault="0038769C">
    <w:pPr>
      <w:jc w:val="right"/>
    </w:pPr>
    <w:proofErr w:type="spellStart"/>
    <w:r>
      <w:rPr>
        <w:color w:val="6B7280"/>
        <w:sz w:val="15"/>
        <w:szCs w:val="15"/>
      </w:rPr>
      <w:t>AnalystLab</w:t>
    </w:r>
    <w:proofErr w:type="spellEnd"/>
    <w:r>
      <w:rPr>
        <w:color w:val="6B7280"/>
        <w:sz w:val="15"/>
        <w:szCs w:val="15"/>
      </w:rPr>
      <w:t xml:space="preserve"> Africa — Business Understanding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30ED7"/>
    <w:multiLevelType w:val="hybridMultilevel"/>
    <w:tmpl w:val="FC3AE9B0"/>
    <w:lvl w:ilvl="0" w:tplc="865C0934">
      <w:start w:val="1"/>
      <w:numFmt w:val="bullet"/>
      <w:lvlText w:val="●"/>
      <w:lvlJc w:val="left"/>
      <w:pPr>
        <w:ind w:left="720" w:hanging="360"/>
      </w:pPr>
    </w:lvl>
    <w:lvl w:ilvl="1" w:tplc="7DFC9FE2">
      <w:start w:val="1"/>
      <w:numFmt w:val="bullet"/>
      <w:lvlText w:val="○"/>
      <w:lvlJc w:val="left"/>
      <w:pPr>
        <w:ind w:left="1440" w:hanging="360"/>
      </w:pPr>
    </w:lvl>
    <w:lvl w:ilvl="2" w:tplc="0936D6BA">
      <w:start w:val="1"/>
      <w:numFmt w:val="bullet"/>
      <w:lvlText w:val="■"/>
      <w:lvlJc w:val="left"/>
      <w:pPr>
        <w:ind w:left="2160" w:hanging="360"/>
      </w:pPr>
    </w:lvl>
    <w:lvl w:ilvl="3" w:tplc="3C26FE92">
      <w:start w:val="1"/>
      <w:numFmt w:val="bullet"/>
      <w:lvlText w:val="●"/>
      <w:lvlJc w:val="left"/>
      <w:pPr>
        <w:ind w:left="2880" w:hanging="360"/>
      </w:pPr>
    </w:lvl>
    <w:lvl w:ilvl="4" w:tplc="C2AA75F0">
      <w:start w:val="1"/>
      <w:numFmt w:val="bullet"/>
      <w:lvlText w:val="○"/>
      <w:lvlJc w:val="left"/>
      <w:pPr>
        <w:ind w:left="3600" w:hanging="360"/>
      </w:pPr>
    </w:lvl>
    <w:lvl w:ilvl="5" w:tplc="0BB8DC8E">
      <w:start w:val="1"/>
      <w:numFmt w:val="bullet"/>
      <w:lvlText w:val="■"/>
      <w:lvlJc w:val="left"/>
      <w:pPr>
        <w:ind w:left="4320" w:hanging="360"/>
      </w:pPr>
    </w:lvl>
    <w:lvl w:ilvl="6" w:tplc="BDC814C8">
      <w:start w:val="1"/>
      <w:numFmt w:val="bullet"/>
      <w:lvlText w:val="●"/>
      <w:lvlJc w:val="left"/>
      <w:pPr>
        <w:ind w:left="5040" w:hanging="360"/>
      </w:pPr>
    </w:lvl>
    <w:lvl w:ilvl="7" w:tplc="993AC8BA">
      <w:start w:val="1"/>
      <w:numFmt w:val="bullet"/>
      <w:lvlText w:val="●"/>
      <w:lvlJc w:val="left"/>
      <w:pPr>
        <w:ind w:left="5760" w:hanging="360"/>
      </w:pPr>
    </w:lvl>
    <w:lvl w:ilvl="8" w:tplc="413854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55946"/>
    <w:multiLevelType w:val="hybridMultilevel"/>
    <w:tmpl w:val="21B47456"/>
    <w:lvl w:ilvl="0" w:tplc="88D6E298">
      <w:start w:val="1"/>
      <w:numFmt w:val="bullet"/>
      <w:lvlText w:val="•"/>
      <w:lvlJc w:val="left"/>
      <w:pPr>
        <w:ind w:left="431" w:hanging="259"/>
      </w:pPr>
    </w:lvl>
    <w:lvl w:ilvl="1" w:tplc="A1AA87C6">
      <w:numFmt w:val="decimal"/>
      <w:lvlText w:val=""/>
      <w:lvlJc w:val="left"/>
    </w:lvl>
    <w:lvl w:ilvl="2" w:tplc="3B1886A4">
      <w:numFmt w:val="decimal"/>
      <w:lvlText w:val=""/>
      <w:lvlJc w:val="left"/>
    </w:lvl>
    <w:lvl w:ilvl="3" w:tplc="C0E6CABC">
      <w:numFmt w:val="decimal"/>
      <w:lvlText w:val=""/>
      <w:lvlJc w:val="left"/>
    </w:lvl>
    <w:lvl w:ilvl="4" w:tplc="2D2EAD28">
      <w:numFmt w:val="decimal"/>
      <w:lvlText w:val=""/>
      <w:lvlJc w:val="left"/>
    </w:lvl>
    <w:lvl w:ilvl="5" w:tplc="52922E58">
      <w:numFmt w:val="decimal"/>
      <w:lvlText w:val=""/>
      <w:lvlJc w:val="left"/>
    </w:lvl>
    <w:lvl w:ilvl="6" w:tplc="6E08AA70">
      <w:numFmt w:val="decimal"/>
      <w:lvlText w:val=""/>
      <w:lvlJc w:val="left"/>
    </w:lvl>
    <w:lvl w:ilvl="7" w:tplc="3D623AD6">
      <w:numFmt w:val="decimal"/>
      <w:lvlText w:val=""/>
      <w:lvlJc w:val="left"/>
    </w:lvl>
    <w:lvl w:ilvl="8" w:tplc="7286FA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3C"/>
    <w:rsid w:val="000B7E95"/>
    <w:rsid w:val="001D05E5"/>
    <w:rsid w:val="0038769C"/>
    <w:rsid w:val="0089193C"/>
    <w:rsid w:val="00AF7659"/>
    <w:rsid w:val="00F2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BCA0"/>
  <w15:docId w15:val="{6C168B4C-AED1-4B06-B5EE-91577EC2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2026-08-11T18:02:00Z</dcterms:created>
  <dcterms:modified xsi:type="dcterms:W3CDTF">2026-08-11T18:14:00Z</dcterms:modified>
</cp:coreProperties>
</file>