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Week 4 Project Summary</w:t>
      </w:r>
    </w:p>
    <w:p>
      <w:pPr>
        <w:spacing w:after="300"/>
      </w:pPr>
      <w:r>
        <w:rPr>
          <w:i/>
          <w:iCs/>
          <w:color w:val="2E75B6"/>
          <w:sz w:val="22"/>
          <w:szCs w:val="22"/>
        </w:rPr>
        <w:t xml:space="preserve">HealthConnect Clinic Experience Lab — Data Analytics Track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40" w:before="280"/>
      </w:pPr>
      <w:r>
        <w:t xml:space="preserve">1. Track-Specific Problem</w:t>
      </w:r>
    </w:p>
    <w:p>
      <w:pPr>
        <w:spacing w:after="120"/>
      </w:pPr>
      <w:r>
        <w:t xml:space="preserve">This track is investigating what drives missed appointments (no-shows) at HealthConnect Clinic, using the appointment dataset to understand attendance patterns and propose KPIs that will support decision-making and, in later weeks, a dashboard.</w:t>
      </w:r>
    </w:p>
    <w:p>
      <w:pPr>
        <w:pStyle w:val="Heading1"/>
        <w:spacing w:after="140" w:before="280"/>
      </w:pPr>
      <w:r>
        <w:t xml:space="preserve">2. Resources Used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HealthConnect_Appointment_Data.csv — 5,000 appointment records, 18 fields.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HealthConnect_Data_Dictionary.xlsx — used to confirm field definitions, data types, and known data-entry rules (e.g. previous_no_shows cannot exceed previous_appointments).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AnalystLab Africa Week 4 Assignment Brief.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HealthConnect_Clinic_Knowledge_Base.docx was reviewed for context but is scoped to the Generative AI track and was not used as a source for this track's analysis.</w:t>
      </w:r>
    </w:p>
    <w:p>
      <w:pPr>
        <w:pStyle w:val="Heading1"/>
        <w:spacing w:after="140" w:before="280"/>
      </w:pPr>
      <w:r>
        <w:t xml:space="preserve">3. Key Observations from Week 4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dataset is complete and internally consistent: no duplicate records, and every consistency check (lead-time arithmetic, previous-no-shows rule, reminder/channel dependency, weekday derivation, age-group derivation) passed with zero violations.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Only three fields carry missing values: reminder_channel (27.3%, structurally tied to reminder_sent = "No"), distance_to_clinic_km (1.8%), and waiting_time_minutes (1.2%) — all matching what the Data Dictionary flags.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overall no-show rate is high, at 48.5% of all appointments (46.3% Attended, 5.3% Cancelled).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Five business questions were narrowed from the central project question, each with a linked, clearly-defined KPI (Overall No-Show Rate, Repeat No-Show Rate, No-Show Rate by Lead Time, Reminder Effectiveness Rate, No-Show Rate by Distance Band); none have been calculated yet, per the Week 4 scope.</w:t>
      </w:r>
    </w:p>
    <w:p>
      <w:pPr>
        <w:pStyle w:val="Heading1"/>
        <w:spacing w:after="140" w:before="280"/>
      </w:pPr>
      <w:r>
        <w:t xml:space="preserve">4. Proposed Approach</w:t>
      </w:r>
    </w:p>
    <w:p>
      <w:pPr>
        <w:spacing w:after="120"/>
      </w:pPr>
      <w:r>
        <w:t xml:space="preserve">Finalise the data-preparation decisions (recoding missing reminder_channel, handling the small number of missing distance/waiting-time values, and deciding how Cancelled appointments are treated), then calculate the five proposed KPIs, test whether observed segment differences are meaningful, and begin the initial Power BI dashboard layout.</w:t>
      </w:r>
    </w:p>
    <w:p>
      <w:pPr>
        <w:pStyle w:val="Heading1"/>
        <w:spacing w:after="140" w:before="280"/>
      </w:pPr>
      <w:r>
        <w:t xml:space="preserve">5. Key Considerations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dataset is fictional and anonymised, so findings will be illustrative rather than real clinical patterns.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dataset does not capture why a patient missed an appointment, so any drivers identified describe association, not root cause.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How Cancelled appointments are treated will change the calculated no-show rate, so the treatment must be applied consistently across all five KPIs.</w:t>
      </w:r>
    </w:p>
    <w:p>
      <w:pPr>
        <w:pStyle w:val="Heading1"/>
        <w:spacing w:after="140" w:before="280"/>
      </w:pPr>
      <w:r>
        <w:t xml:space="preserve">6. Proposed Focus for Week 5</w:t>
      </w:r>
    </w:p>
    <w:p>
      <w:pPr>
        <w:spacing w:after="120"/>
      </w:pPr>
      <w:r>
        <w:t xml:space="preserve">Complete the data-cleaning decisions, calculate and visualise the five proposed KPIs, run basic checks on the strongest apparent drivers (prior no-shows, lead time, distance), and build the initial Power BI dashboard.</w:t>
      </w:r>
    </w:p>
    <w:p>
      <w:pPr>
        <w:spacing w:after="100"/>
      </w:pPr>
    </w:p>
    <w:p>
      <w:pPr>
        <w:pBdr>
          <w:bottom w:val="single" w:color="AAAAAA" w:sz="6" w:space="1"/>
        </w:pBdr>
        <w:spacing w:after="200"/>
      </w:pPr>
    </w:p>
    <w:p>
      <w:r>
        <w:rPr>
          <w:i/>
          <w:iCs/>
          <w:color w:val="666666"/>
          <w:sz w:val="18"/>
          <w:szCs w:val="18"/>
        </w:rPr>
        <w:t xml:space="preserve">This summary complements the Week 4 Initial Analysis Document and does not repeat its detail.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2026-08-25T15:14:35.832Z</dcterms:created>
  <dcterms:modified xsi:type="dcterms:W3CDTF">2026-08-25T15:14:35.833Z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