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F3A" w:rsidRDefault="00B1069A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BUSINESS INSIGHTS &amp; RECOMMENDATIONS</w:t>
      </w:r>
    </w:p>
    <w:p w:rsidR="00BF1F3A" w:rsidRDefault="00B1069A">
      <w:pPr>
        <w:spacing w:after="40"/>
        <w:jc w:val="center"/>
      </w:pPr>
      <w:r>
        <w:rPr>
          <w:b/>
          <w:bCs/>
          <w:color w:val="C9971C"/>
          <w:sz w:val="24"/>
          <w:szCs w:val="24"/>
        </w:rPr>
        <w:t>Superstore Sales Dataset</w:t>
      </w:r>
      <w:r>
        <w:rPr>
          <w:b/>
          <w:bCs/>
          <w:color w:val="C9971C"/>
          <w:sz w:val="24"/>
          <w:szCs w:val="24"/>
        </w:rPr>
        <w:t xml:space="preserve"> Evidence-Based Findings for Decision-Makers</w:t>
      </w:r>
    </w:p>
    <w:p w:rsidR="00BF1F3A" w:rsidRDefault="00B1069A">
      <w:pPr>
        <w:spacing w:after="400"/>
        <w:jc w:val="center"/>
      </w:pPr>
      <w:r>
        <w:rPr>
          <w:i/>
          <w:iCs/>
          <w:color w:val="555555"/>
        </w:rPr>
        <w:t>AnalystLab Africa Data Analytics Internship · Week 3 Submission</w:t>
      </w:r>
    </w:p>
    <w:p w:rsidR="00BF1F3A" w:rsidRDefault="00B1069A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Five Key Insights</w:t>
      </w:r>
    </w:p>
    <w:p w:rsidR="00BF1F3A" w:rsidRDefault="00B1069A">
      <w:pPr>
        <w:pStyle w:val="ListParagraph"/>
        <w:numPr>
          <w:ilvl w:val="0"/>
          <w:numId w:val="2"/>
        </w:numPr>
        <w:spacing w:after="100" w:line="270" w:lineRule="auto"/>
      </w:pPr>
      <w:r>
        <w:rPr>
          <w:sz w:val="21"/>
          <w:szCs w:val="21"/>
        </w:rPr>
        <w:t>Profit growth is decoupling from sales growth in the most recent year</w:t>
      </w:r>
      <w:r>
        <w:rPr>
          <w:sz w:val="21"/>
          <w:szCs w:val="21"/>
        </w:rPr>
        <w:t xml:space="preserve"> 2017 sales grew 20.4% but profit grew only 14.2%, reversing the healthier pattern seen in 2015–2016.</w:t>
      </w:r>
    </w:p>
    <w:p w:rsidR="00BF1F3A" w:rsidRDefault="00B1069A">
      <w:pPr>
        <w:pStyle w:val="ListParagraph"/>
        <w:numPr>
          <w:ilvl w:val="0"/>
          <w:numId w:val="2"/>
        </w:numPr>
        <w:spacing w:after="100" w:line="270" w:lineRule="auto"/>
      </w:pPr>
      <w:r>
        <w:rPr>
          <w:sz w:val="21"/>
          <w:szCs w:val="21"/>
        </w:rPr>
        <w:t>Two Furniture sub-categories (Tables, Bookcases) are the single biggest drag on com</w:t>
      </w:r>
      <w:r>
        <w:rPr>
          <w:sz w:val="21"/>
          <w:szCs w:val="21"/>
        </w:rPr>
        <w:t>pany profitability, losing a combined $21.2K despite steady demand.</w:t>
      </w:r>
    </w:p>
    <w:p w:rsidR="00BF1F3A" w:rsidRDefault="00B1069A">
      <w:pPr>
        <w:pStyle w:val="ListParagraph"/>
        <w:numPr>
          <w:ilvl w:val="0"/>
          <w:numId w:val="2"/>
        </w:numPr>
        <w:spacing w:after="100" w:line="270" w:lineRule="auto"/>
      </w:pPr>
      <w:r>
        <w:rPr>
          <w:sz w:val="21"/>
          <w:szCs w:val="21"/>
        </w:rPr>
        <w:t>The Central region's weak margin is explained by a cluster of loss-making states (Texas, Ohio, Pennsylvania, Illinois), not an isolated Texas problem.</w:t>
      </w:r>
    </w:p>
    <w:p w:rsidR="00BF1F3A" w:rsidRDefault="00B1069A">
      <w:pPr>
        <w:pStyle w:val="ListParagraph"/>
        <w:numPr>
          <w:ilvl w:val="0"/>
          <w:numId w:val="2"/>
        </w:numPr>
        <w:spacing w:after="100" w:line="270" w:lineRule="auto"/>
      </w:pPr>
      <w:r>
        <w:rPr>
          <w:sz w:val="21"/>
          <w:szCs w:val="21"/>
        </w:rPr>
        <w:t>Discounting shows a real, moderate ne</w:t>
      </w:r>
      <w:r>
        <w:rPr>
          <w:sz w:val="21"/>
          <w:szCs w:val="21"/>
        </w:rPr>
        <w:t>gative relationship with profit (r ≈ −0.22), concentrated in specific high-loss products rather than uniformly across the business.</w:t>
      </w:r>
    </w:p>
    <w:p w:rsidR="00BF1F3A" w:rsidRDefault="00B1069A">
      <w:pPr>
        <w:pStyle w:val="ListParagraph"/>
        <w:numPr>
          <w:ilvl w:val="0"/>
          <w:numId w:val="2"/>
        </w:numPr>
        <w:spacing w:after="100" w:line="270" w:lineRule="auto"/>
      </w:pPr>
      <w:r>
        <w:rPr>
          <w:sz w:val="21"/>
          <w:szCs w:val="21"/>
        </w:rPr>
        <w:t>Consumer segment is the business's foundation</w:t>
      </w:r>
      <w:r>
        <w:rPr>
          <w:sz w:val="21"/>
          <w:szCs w:val="21"/>
        </w:rPr>
        <w:t xml:space="preserve"> 50.6% of sales and the largest profit contribution of the three segments</w:t>
      </w:r>
      <w:r>
        <w:rPr>
          <w:sz w:val="21"/>
          <w:szCs w:val="21"/>
        </w:rPr>
        <w:t xml:space="preserve"> m</w:t>
      </w:r>
      <w:r>
        <w:rPr>
          <w:sz w:val="21"/>
          <w:szCs w:val="21"/>
        </w:rPr>
        <w:t>aking it the highest-value segment to protect and retain.</w:t>
      </w:r>
    </w:p>
    <w:p w:rsidR="00BF1F3A" w:rsidRDefault="00B1069A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Five Evidence-Based Recommendations</w:t>
      </w:r>
    </w:p>
    <w:p w:rsidR="00BF1F3A" w:rsidRDefault="00B1069A">
      <w:pPr>
        <w:pStyle w:val="ListParagraph"/>
        <w:numPr>
          <w:ilvl w:val="0"/>
          <w:numId w:val="3"/>
        </w:numPr>
        <w:spacing w:after="100" w:line="270" w:lineRule="auto"/>
      </w:pPr>
      <w:r>
        <w:rPr>
          <w:sz w:val="21"/>
          <w:szCs w:val="21"/>
        </w:rPr>
        <w:t>Cap or restructure discounting on Tables, Bookcases, and other sub-categories currently selling at a loss, rather than applying an across-the-board discount polic</w:t>
      </w:r>
      <w:r>
        <w:rPr>
          <w:sz w:val="21"/>
          <w:szCs w:val="21"/>
        </w:rPr>
        <w:t>y</w:t>
      </w:r>
      <w:r>
        <w:rPr>
          <w:sz w:val="21"/>
          <w:szCs w:val="21"/>
        </w:rPr>
        <w:t xml:space="preserve"> supported by the –8.6% and –3.0% margins on these two sub-categories despite steady unit volume.</w:t>
      </w:r>
    </w:p>
    <w:p w:rsidR="00BF1F3A" w:rsidRDefault="00B1069A">
      <w:pPr>
        <w:pStyle w:val="ListParagraph"/>
        <w:numPr>
          <w:ilvl w:val="0"/>
          <w:numId w:val="3"/>
        </w:numPr>
        <w:spacing w:after="100" w:line="270" w:lineRule="auto"/>
      </w:pPr>
      <w:r>
        <w:rPr>
          <w:sz w:val="21"/>
          <w:szCs w:val="21"/>
        </w:rPr>
        <w:t>Open a pricing/cost review for the Central region, prioritizing Texas, Ohio, Pennsylvania, and Illinois</w:t>
      </w:r>
      <w:r>
        <w:rPr>
          <w:sz w:val="21"/>
          <w:szCs w:val="21"/>
        </w:rPr>
        <w:t xml:space="preserve"> supported by these four states collectively losin</w:t>
      </w:r>
      <w:r>
        <w:rPr>
          <w:sz w:val="21"/>
          <w:szCs w:val="21"/>
        </w:rPr>
        <w:t>g over $61K while posting meaningful sales volume.</w:t>
      </w:r>
    </w:p>
    <w:p w:rsidR="00BF1F3A" w:rsidRDefault="00B1069A">
      <w:pPr>
        <w:pStyle w:val="ListParagraph"/>
        <w:numPr>
          <w:ilvl w:val="0"/>
          <w:numId w:val="3"/>
        </w:numPr>
        <w:spacing w:after="100" w:line="270" w:lineRule="auto"/>
      </w:pPr>
      <w:r>
        <w:rPr>
          <w:sz w:val="21"/>
          <w:szCs w:val="21"/>
        </w:rPr>
        <w:t>Shift marketing and inventory investment toward Technology, especially Copiers</w:t>
      </w:r>
      <w:r>
        <w:rPr>
          <w:sz w:val="21"/>
          <w:szCs w:val="21"/>
        </w:rPr>
        <w:t xml:space="preserve"> supported by Technology's $145.5K profit (the highest of any category) and Copiers' 37% margin, the best of any sub-category</w:t>
      </w:r>
      <w:r>
        <w:rPr>
          <w:sz w:val="21"/>
          <w:szCs w:val="21"/>
        </w:rPr>
        <w:t>.</w:t>
      </w:r>
    </w:p>
    <w:p w:rsidR="00BF1F3A" w:rsidRDefault="00B1069A">
      <w:pPr>
        <w:pStyle w:val="ListParagraph"/>
        <w:numPr>
          <w:ilvl w:val="0"/>
          <w:numId w:val="3"/>
        </w:numPr>
        <w:spacing w:after="100" w:line="270" w:lineRule="auto"/>
      </w:pPr>
      <w:r>
        <w:rPr>
          <w:sz w:val="21"/>
          <w:szCs w:val="21"/>
        </w:rPr>
        <w:t>Introduce a discount governance threshold requiring approval above a set discount level</w:t>
      </w:r>
      <w:r>
        <w:rPr>
          <w:sz w:val="21"/>
          <w:szCs w:val="21"/>
        </w:rPr>
        <w:t xml:space="preserve"> supported by the consistent pattern of the worst-performing products (3D printers, Lexmark printer, Tables, Bookcases) all carrying elevated discount rates.</w:t>
      </w:r>
    </w:p>
    <w:p w:rsidR="00BF1F3A" w:rsidRDefault="00B1069A">
      <w:pPr>
        <w:pStyle w:val="ListParagraph"/>
        <w:numPr>
          <w:ilvl w:val="0"/>
          <w:numId w:val="3"/>
        </w:numPr>
        <w:spacing w:after="100" w:line="270" w:lineRule="auto"/>
      </w:pPr>
      <w:r>
        <w:rPr>
          <w:sz w:val="21"/>
          <w:szCs w:val="21"/>
        </w:rPr>
        <w:t>Protect</w:t>
      </w:r>
      <w:r>
        <w:rPr>
          <w:sz w:val="21"/>
          <w:szCs w:val="21"/>
        </w:rPr>
        <w:t xml:space="preserve"> and grow the Consumer segment through retention offers</w:t>
      </w:r>
      <w:r>
        <w:rPr>
          <w:sz w:val="21"/>
          <w:szCs w:val="21"/>
        </w:rPr>
        <w:t xml:space="preserve"> supported by its 50.6% share of sales and largest profit contribution among the three segments, making it the segment with the most value at stake.</w:t>
      </w:r>
    </w:p>
    <w:p w:rsidR="00BF1F3A" w:rsidRDefault="00B1069A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Key Insight, Risk &amp; Opportunity (Dashboard Callout</w:t>
      </w:r>
      <w:r>
        <w:rPr>
          <w:b/>
          <w:bCs/>
          <w:color w:val="1F3864"/>
          <w:sz w:val="30"/>
          <w:szCs w:val="30"/>
        </w:rPr>
        <w:t>s)</w:t>
      </w:r>
    </w:p>
    <w:p w:rsidR="00BF1F3A" w:rsidRDefault="00B1069A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Key Insight</w:t>
      </w:r>
    </w:p>
    <w:p w:rsidR="00BF1F3A" w:rsidRDefault="00B1069A">
      <w:pPr>
        <w:spacing w:after="140" w:line="276" w:lineRule="auto"/>
      </w:pPr>
      <w:r>
        <w:rPr>
          <w:sz w:val="21"/>
          <w:szCs w:val="21"/>
        </w:rPr>
        <w:t>Sales grew 20.4% in 2017 but profit grew only 14.2%, showing profit is no longer scaling with revenue.</w:t>
      </w:r>
    </w:p>
    <w:p w:rsidR="00BF1F3A" w:rsidRDefault="00B1069A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Risk</w:t>
      </w:r>
    </w:p>
    <w:p w:rsidR="00BF1F3A" w:rsidRDefault="00B1069A">
      <w:pPr>
        <w:spacing w:after="140" w:line="276" w:lineRule="auto"/>
      </w:pPr>
      <w:r>
        <w:rPr>
          <w:sz w:val="21"/>
          <w:szCs w:val="21"/>
        </w:rPr>
        <w:t xml:space="preserve">Tables, Bookcases, and a cluster of states (Texas, Ohio, Pennsylvania, </w:t>
      </w:r>
      <w:bookmarkStart w:id="0" w:name="_GoBack"/>
      <w:bookmarkEnd w:id="0"/>
      <w:r w:rsidR="00C93FBB">
        <w:rPr>
          <w:sz w:val="21"/>
          <w:szCs w:val="21"/>
        </w:rPr>
        <w:t>and Illinois</w:t>
      </w:r>
      <w:r>
        <w:rPr>
          <w:sz w:val="21"/>
          <w:szCs w:val="21"/>
        </w:rPr>
        <w:t>) are actively losing money despite steady sales, driv</w:t>
      </w:r>
      <w:r>
        <w:rPr>
          <w:sz w:val="21"/>
          <w:szCs w:val="21"/>
        </w:rPr>
        <w:t>en largely by heavy discounting.</w:t>
      </w:r>
    </w:p>
    <w:p w:rsidR="00BF1F3A" w:rsidRDefault="00B1069A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Opportunity</w:t>
      </w:r>
    </w:p>
    <w:p w:rsidR="00BF1F3A" w:rsidRDefault="00B1069A">
      <w:pPr>
        <w:spacing w:after="140" w:line="276" w:lineRule="auto"/>
      </w:pPr>
      <w:r>
        <w:rPr>
          <w:sz w:val="21"/>
          <w:szCs w:val="21"/>
        </w:rPr>
        <w:lastRenderedPageBreak/>
        <w:t>Technology</w:t>
      </w:r>
      <w:r>
        <w:rPr>
          <w:sz w:val="21"/>
          <w:szCs w:val="21"/>
        </w:rPr>
        <w:t xml:space="preserve"> especially Copiers, with a 37% profit margin</w:t>
      </w:r>
      <w:r>
        <w:rPr>
          <w:sz w:val="21"/>
          <w:szCs w:val="21"/>
        </w:rPr>
        <w:t xml:space="preserve"> is underweighted relative to its profitability and is the clearest area to grow.</w:t>
      </w:r>
    </w:p>
    <w:p w:rsidR="00BF1F3A" w:rsidRDefault="00BF1F3A">
      <w:pPr>
        <w:spacing w:after="140" w:line="276" w:lineRule="auto"/>
      </w:pPr>
    </w:p>
    <w:p w:rsidR="00BF1F3A" w:rsidRDefault="00B1069A">
      <w:pPr>
        <w:spacing w:after="140" w:line="276" w:lineRule="auto"/>
      </w:pPr>
      <w:r>
        <w:rPr>
          <w:i/>
          <w:iCs/>
          <w:color w:val="888888"/>
          <w:sz w:val="21"/>
          <w:szCs w:val="21"/>
        </w:rPr>
        <w:t>Prepared as part of the AnalystLab Africa Data Analytics Internship, Week 3 deliverables.</w:t>
      </w:r>
    </w:p>
    <w:sectPr w:rsidR="00BF1F3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69A" w:rsidRDefault="00B1069A">
      <w:r>
        <w:separator/>
      </w:r>
    </w:p>
  </w:endnote>
  <w:endnote w:type="continuationSeparator" w:id="0">
    <w:p w:rsidR="00B1069A" w:rsidRDefault="00B1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F3A" w:rsidRDefault="00B1069A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C93FBB">
      <w:rPr>
        <w:color w:val="888888"/>
        <w:sz w:val="16"/>
        <w:szCs w:val="16"/>
      </w:rPr>
      <w:fldChar w:fldCharType="separate"/>
    </w:r>
    <w:r w:rsidR="00C93FB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69A" w:rsidRDefault="00B1069A">
      <w:r>
        <w:separator/>
      </w:r>
    </w:p>
  </w:footnote>
  <w:footnote w:type="continuationSeparator" w:id="0">
    <w:p w:rsidR="00B1069A" w:rsidRDefault="00B10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F3A" w:rsidRDefault="00B1069A">
    <w:pPr>
      <w:pBdr>
        <w:bottom w:val="single" w:sz="4" w:space="4" w:color="CCCCCC"/>
      </w:pBdr>
      <w:jc w:val="right"/>
    </w:pPr>
    <w:r>
      <w:rPr>
        <w:i/>
        <w:iCs/>
        <w:color w:val="888888"/>
        <w:sz w:val="16"/>
        <w:szCs w:val="16"/>
      </w:rPr>
      <w:t>AnalystLab Africa · Week 3 · Superstore Sales 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2036D"/>
    <w:multiLevelType w:val="hybridMultilevel"/>
    <w:tmpl w:val="16DE91FC"/>
    <w:lvl w:ilvl="0" w:tplc="DADCE43A">
      <w:start w:val="1"/>
      <w:numFmt w:val="bullet"/>
      <w:lvlText w:val="•"/>
      <w:lvlJc w:val="left"/>
      <w:pPr>
        <w:ind w:left="360" w:hanging="260"/>
      </w:pPr>
    </w:lvl>
    <w:lvl w:ilvl="1" w:tplc="3C9A3568">
      <w:start w:val="1"/>
      <w:numFmt w:val="bullet"/>
      <w:lvlText w:val="◦"/>
      <w:lvlJc w:val="left"/>
      <w:pPr>
        <w:ind w:left="720" w:hanging="260"/>
      </w:pPr>
    </w:lvl>
    <w:lvl w:ilvl="2" w:tplc="4D925DCE">
      <w:numFmt w:val="decimal"/>
      <w:lvlText w:val=""/>
      <w:lvlJc w:val="left"/>
    </w:lvl>
    <w:lvl w:ilvl="3" w:tplc="3DCAF7E0">
      <w:numFmt w:val="decimal"/>
      <w:lvlText w:val=""/>
      <w:lvlJc w:val="left"/>
    </w:lvl>
    <w:lvl w:ilvl="4" w:tplc="12581E4A">
      <w:numFmt w:val="decimal"/>
      <w:lvlText w:val=""/>
      <w:lvlJc w:val="left"/>
    </w:lvl>
    <w:lvl w:ilvl="5" w:tplc="58F4F9D6">
      <w:numFmt w:val="decimal"/>
      <w:lvlText w:val=""/>
      <w:lvlJc w:val="left"/>
    </w:lvl>
    <w:lvl w:ilvl="6" w:tplc="356237CA">
      <w:numFmt w:val="decimal"/>
      <w:lvlText w:val=""/>
      <w:lvlJc w:val="left"/>
    </w:lvl>
    <w:lvl w:ilvl="7" w:tplc="877E6DF0">
      <w:numFmt w:val="decimal"/>
      <w:lvlText w:val=""/>
      <w:lvlJc w:val="left"/>
    </w:lvl>
    <w:lvl w:ilvl="8" w:tplc="F10C0572">
      <w:numFmt w:val="decimal"/>
      <w:lvlText w:val=""/>
      <w:lvlJc w:val="left"/>
    </w:lvl>
  </w:abstractNum>
  <w:abstractNum w:abstractNumId="1" w15:restartNumberingAfterBreak="0">
    <w:nsid w:val="1C452DCD"/>
    <w:multiLevelType w:val="hybridMultilevel"/>
    <w:tmpl w:val="7E4A66B4"/>
    <w:lvl w:ilvl="0" w:tplc="8816189C">
      <w:start w:val="1"/>
      <w:numFmt w:val="decimal"/>
      <w:lvlText w:val="%1."/>
      <w:lvlJc w:val="left"/>
      <w:pPr>
        <w:ind w:left="400" w:hanging="320"/>
      </w:pPr>
    </w:lvl>
    <w:lvl w:ilvl="1" w:tplc="7FBA8070">
      <w:numFmt w:val="decimal"/>
      <w:lvlText w:val=""/>
      <w:lvlJc w:val="left"/>
    </w:lvl>
    <w:lvl w:ilvl="2" w:tplc="A7F62D38">
      <w:numFmt w:val="decimal"/>
      <w:lvlText w:val=""/>
      <w:lvlJc w:val="left"/>
    </w:lvl>
    <w:lvl w:ilvl="3" w:tplc="19E49F3A">
      <w:numFmt w:val="decimal"/>
      <w:lvlText w:val=""/>
      <w:lvlJc w:val="left"/>
    </w:lvl>
    <w:lvl w:ilvl="4" w:tplc="0526C8A2">
      <w:numFmt w:val="decimal"/>
      <w:lvlText w:val=""/>
      <w:lvlJc w:val="left"/>
    </w:lvl>
    <w:lvl w:ilvl="5" w:tplc="6B6C724A">
      <w:numFmt w:val="decimal"/>
      <w:lvlText w:val=""/>
      <w:lvlJc w:val="left"/>
    </w:lvl>
    <w:lvl w:ilvl="6" w:tplc="F5986020">
      <w:numFmt w:val="decimal"/>
      <w:lvlText w:val=""/>
      <w:lvlJc w:val="left"/>
    </w:lvl>
    <w:lvl w:ilvl="7" w:tplc="1E0ACD50">
      <w:numFmt w:val="decimal"/>
      <w:lvlText w:val=""/>
      <w:lvlJc w:val="left"/>
    </w:lvl>
    <w:lvl w:ilvl="8" w:tplc="EA94E5C8">
      <w:numFmt w:val="decimal"/>
      <w:lvlText w:val=""/>
      <w:lvlJc w:val="left"/>
    </w:lvl>
  </w:abstractNum>
  <w:abstractNum w:abstractNumId="2" w15:restartNumberingAfterBreak="0">
    <w:nsid w:val="1FF40EBF"/>
    <w:multiLevelType w:val="hybridMultilevel"/>
    <w:tmpl w:val="E6D2C19C"/>
    <w:lvl w:ilvl="0" w:tplc="32BA92EA">
      <w:start w:val="1"/>
      <w:numFmt w:val="decimal"/>
      <w:lvlText w:val="%1."/>
      <w:lvlJc w:val="left"/>
      <w:pPr>
        <w:ind w:left="400" w:hanging="320"/>
      </w:pPr>
    </w:lvl>
    <w:lvl w:ilvl="1" w:tplc="8FBC9686">
      <w:numFmt w:val="decimal"/>
      <w:lvlText w:val=""/>
      <w:lvlJc w:val="left"/>
    </w:lvl>
    <w:lvl w:ilvl="2" w:tplc="07A4623E">
      <w:numFmt w:val="decimal"/>
      <w:lvlText w:val=""/>
      <w:lvlJc w:val="left"/>
    </w:lvl>
    <w:lvl w:ilvl="3" w:tplc="6374F0CA">
      <w:numFmt w:val="decimal"/>
      <w:lvlText w:val=""/>
      <w:lvlJc w:val="left"/>
    </w:lvl>
    <w:lvl w:ilvl="4" w:tplc="19F66018">
      <w:numFmt w:val="decimal"/>
      <w:lvlText w:val=""/>
      <w:lvlJc w:val="left"/>
    </w:lvl>
    <w:lvl w:ilvl="5" w:tplc="D9EE2CF6">
      <w:numFmt w:val="decimal"/>
      <w:lvlText w:val=""/>
      <w:lvlJc w:val="left"/>
    </w:lvl>
    <w:lvl w:ilvl="6" w:tplc="3692094E">
      <w:numFmt w:val="decimal"/>
      <w:lvlText w:val=""/>
      <w:lvlJc w:val="left"/>
    </w:lvl>
    <w:lvl w:ilvl="7" w:tplc="47480206">
      <w:numFmt w:val="decimal"/>
      <w:lvlText w:val=""/>
      <w:lvlJc w:val="left"/>
    </w:lvl>
    <w:lvl w:ilvl="8" w:tplc="1DE65550">
      <w:numFmt w:val="decimal"/>
      <w:lvlText w:val=""/>
      <w:lvlJc w:val="left"/>
    </w:lvl>
  </w:abstractNum>
  <w:abstractNum w:abstractNumId="3" w15:restartNumberingAfterBreak="0">
    <w:nsid w:val="21B262CD"/>
    <w:multiLevelType w:val="hybridMultilevel"/>
    <w:tmpl w:val="28BC2514"/>
    <w:lvl w:ilvl="0" w:tplc="EDEACD9E">
      <w:start w:val="1"/>
      <w:numFmt w:val="bullet"/>
      <w:lvlText w:val="●"/>
      <w:lvlJc w:val="left"/>
      <w:pPr>
        <w:ind w:left="720" w:hanging="360"/>
      </w:pPr>
    </w:lvl>
    <w:lvl w:ilvl="1" w:tplc="A802C564">
      <w:start w:val="1"/>
      <w:numFmt w:val="bullet"/>
      <w:lvlText w:val="○"/>
      <w:lvlJc w:val="left"/>
      <w:pPr>
        <w:ind w:left="1440" w:hanging="360"/>
      </w:pPr>
    </w:lvl>
    <w:lvl w:ilvl="2" w:tplc="3A646ADA">
      <w:start w:val="1"/>
      <w:numFmt w:val="bullet"/>
      <w:lvlText w:val="■"/>
      <w:lvlJc w:val="left"/>
      <w:pPr>
        <w:ind w:left="2160" w:hanging="360"/>
      </w:pPr>
    </w:lvl>
    <w:lvl w:ilvl="3" w:tplc="9E3277B2">
      <w:start w:val="1"/>
      <w:numFmt w:val="bullet"/>
      <w:lvlText w:val="●"/>
      <w:lvlJc w:val="left"/>
      <w:pPr>
        <w:ind w:left="2880" w:hanging="360"/>
      </w:pPr>
    </w:lvl>
    <w:lvl w:ilvl="4" w:tplc="55F2BE70">
      <w:start w:val="1"/>
      <w:numFmt w:val="bullet"/>
      <w:lvlText w:val="○"/>
      <w:lvlJc w:val="left"/>
      <w:pPr>
        <w:ind w:left="3600" w:hanging="360"/>
      </w:pPr>
    </w:lvl>
    <w:lvl w:ilvl="5" w:tplc="510A5CBE">
      <w:start w:val="1"/>
      <w:numFmt w:val="bullet"/>
      <w:lvlText w:val="■"/>
      <w:lvlJc w:val="left"/>
      <w:pPr>
        <w:ind w:left="4320" w:hanging="360"/>
      </w:pPr>
    </w:lvl>
    <w:lvl w:ilvl="6" w:tplc="48AA0D6C">
      <w:start w:val="1"/>
      <w:numFmt w:val="bullet"/>
      <w:lvlText w:val="●"/>
      <w:lvlJc w:val="left"/>
      <w:pPr>
        <w:ind w:left="5040" w:hanging="360"/>
      </w:pPr>
    </w:lvl>
    <w:lvl w:ilvl="7" w:tplc="37BEF640">
      <w:start w:val="1"/>
      <w:numFmt w:val="bullet"/>
      <w:lvlText w:val="●"/>
      <w:lvlJc w:val="left"/>
      <w:pPr>
        <w:ind w:left="5760" w:hanging="360"/>
      </w:pPr>
    </w:lvl>
    <w:lvl w:ilvl="8" w:tplc="9BA0D4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F3A"/>
    <w:rsid w:val="00B1069A"/>
    <w:rsid w:val="00BF1F3A"/>
    <w:rsid w:val="00C9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6D8815-43D6-4E00-BB36-8112513A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2026-08-22T07:14:00Z</dcterms:created>
  <dcterms:modified xsi:type="dcterms:W3CDTF">2026-08-23T06:40:00Z</dcterms:modified>
</cp:coreProperties>
</file>