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HealthConnect Clinic - Advanced Analytics &amp; Decision Support Report</w:t>
      </w:r>
    </w:p>
    <w:p>
      <w:pPr>
        <w:spacing w:after="600"/>
        <w:jc w:val="center"/>
      </w:pPr>
      <w:r>
        <w:rPr>
          <w:i/>
          <w:iCs/>
          <w:sz w:val="24"/>
          <w:szCs w:val="24"/>
        </w:rPr>
        <w:t xml:space="preserve">Week 6: Integration, Advanced Development &amp; Validation</w:t>
      </w:r>
    </w:p>
    <w:p>
      <w:pPr>
        <w:spacing w:after="60"/>
        <w:jc w:val="center"/>
      </w:pPr>
      <w:r>
        <w:t xml:space="preserve">AnalystLab Africa Experience Lab - Data Analytics Track</w:t>
      </w:r>
    </w:p>
    <w:p>
      <w:pPr>
        <w:spacing w:after="60"/>
        <w:jc w:val="center"/>
      </w:pPr>
      <w:r>
        <w:t xml:space="preserve">Prepared using HealthConnect_Appointment_Data.csv (5,000 records)</w:t>
      </w:r>
    </w:p>
    <w:p>
      <w:r>
        <w:br w:type="page"/>
      </w:r>
    </w:p>
    <w:p>
      <w:pPr>
        <w:pStyle w:val="Heading1"/>
        <w:spacing w:after="150" w:before="300"/>
      </w:pPr>
      <w:r>
        <w:t xml:space="preserve">Part 1: Week 5 to Week 6 Transition</w:t>
      </w:r>
    </w:p>
    <w:p>
      <w:pPr>
        <w:spacing w:after="160"/>
      </w:pPr>
      <w:r>
        <w:rPr>
          <w:b/>
          <w:bCs/>
        </w:rPr>
        <w:t xml:space="preserve">Main Week 5 output: </w:t>
      </w:r>
      <w:r>
        <w:t xml:space="preserve">an Initial HealthConnect Analytics Report and Power BI dashboard covering data preparation, exploratory data analysis, five defined KPIs, and six written business insights on appointment no-show patterns.</w:t>
      </w:r>
    </w:p>
    <w:p>
      <w:pPr>
        <w:spacing w:after="160"/>
      </w:pPr>
      <w:r>
        <w:rPr>
          <w:b/>
          <w:bCs/>
        </w:rPr>
        <w:t xml:space="preserve">Most important result produced: </w:t>
      </w:r>
      <w:r>
        <w:t xml:space="preserve">identification of distance to clinic as the strongest single predictor of no-shows (48.7% within 5km rising to 70.0% beyond 30km), alongside prior no-show history as the second-strongest predictor (57.8% for repeat no-shows vs 46.3% for first-time patients).</w:t>
      </w:r>
    </w:p>
    <w:p>
      <w:pPr>
        <w:spacing w:after="160"/>
      </w:pPr>
      <w:r>
        <w:rPr>
          <w:b/>
          <w:bCs/>
        </w:rPr>
        <w:t xml:space="preserve">Main issue or limitation discovered: </w:t>
      </w:r>
      <w:r>
        <w:t xml:space="preserve">Week 5 findings were single-factor breakdowns only; no testing was done to confirm these relationships hold once other variables are controlled for, and no interaction effects between factors were investigated. This limited how confidently the findings could support real operational decisions.</w:t>
      </w:r>
    </w:p>
    <w:p>
      <w:pPr>
        <w:spacing w:after="160"/>
      </w:pPr>
      <w:r>
        <w:rPr>
          <w:b/>
          <w:bCs/>
        </w:rPr>
        <w:t xml:space="preserve">Tracks relevant to Week 6 activity: </w:t>
      </w:r>
      <w:r>
        <w:t xml:space="preserve">Data Science, since validated feature relationships and interaction effects directly inform candidate feature selection for a no-show prediction model.</w:t>
      </w:r>
    </w:p>
    <w:p>
      <w:pPr>
        <w:spacing w:after="160"/>
      </w:pPr>
      <w:r>
        <w:rPr>
          <w:b/>
          <w:bCs/>
        </w:rPr>
        <w:t xml:space="preserve">What this week improves, integrates, or validates: </w:t>
      </w:r>
      <w:r>
        <w:t xml:space="preserve">Week 6 re-tests the two strongest Week 5 findings for confounding, investigates interaction effects between distance, prior no-show history, and reminders, validates the reminder KPI across patient segments, and produces a formal analytical handoff to the Data Science track.</w:t>
      </w:r>
    </w:p>
    <w:p>
      <w:pPr>
        <w:pStyle w:val="Heading1"/>
        <w:spacing w:after="150" w:before="300"/>
      </w:pPr>
      <w:r>
        <w:t xml:space="preserve">Part 2: Integration Readiness</w:t>
      </w:r>
    </w:p>
    <w:p>
      <w:pPr>
        <w:pStyle w:val="Heading2"/>
        <w:spacing w:after="120" w:before="240"/>
      </w:pPr>
      <w:r>
        <w:t xml:space="preserve">A. Integration point</w:t>
      </w:r>
    </w:p>
    <w:p>
      <w:pPr>
        <w:spacing w:after="160"/>
      </w:pPr>
      <w:r>
        <w:rPr>
          <w:b/>
          <w:bCs/>
        </w:rPr>
        <w:t xml:space="preserve">Track: </w:t>
      </w:r>
      <w:r>
        <w:t xml:space="preserve">Data Science.</w:t>
      </w:r>
    </w:p>
    <w:p>
      <w:pPr>
        <w:spacing w:after="160"/>
      </w:pPr>
      <w:r>
        <w:rPr>
          <w:b/>
          <w:bCs/>
        </w:rPr>
        <w:t xml:space="preserve">Output needed from that track: </w:t>
      </w:r>
      <w:r>
        <w:t xml:space="preserve">confirmation of which features the baseline no-show prediction model treats as most important, to compare against the effect sizes found in this analysis.</w:t>
      </w:r>
    </w:p>
    <w:p>
      <w:pPr>
        <w:spacing w:after="160"/>
      </w:pPr>
      <w:r>
        <w:rPr>
          <w:b/>
          <w:bCs/>
        </w:rPr>
        <w:t xml:space="preserve">Output provided to that track: </w:t>
      </w:r>
      <w:r>
        <w:t xml:space="preserve">a ranked feature handoff document identifying distance to clinic, prior no-show history, and reminder status as the strongest validated predictors, including the interaction effects discovered in Week 6 (see the accompanying Cross-Track Integration Evidence document).</w:t>
      </w:r>
    </w:p>
    <w:p>
      <w:pPr>
        <w:spacing w:after="160"/>
      </w:pPr>
      <w:r>
        <w:rPr>
          <w:b/>
          <w:bCs/>
        </w:rPr>
        <w:t xml:space="preserve">Why the connection is relevant: </w:t>
      </w:r>
      <w:r>
        <w:t xml:space="preserve">the Data Science track's Week 5 baseline model needs a defensible set of candidate features; this analysis provides that evidence rather than requiring the Data Science track to repeat the same exploratory work independently.</w:t>
      </w:r>
    </w:p>
    <w:p>
      <w:pPr>
        <w:pStyle w:val="Heading2"/>
        <w:spacing w:after="120" w:before="240"/>
      </w:pPr>
      <w:r>
        <w:t xml:space="preserve">B. Integration objective</w:t>
      </w:r>
    </w:p>
    <w:p>
      <w:pPr>
        <w:spacing w:after="160"/>
      </w:pPr>
      <w:r>
        <w:t xml:space="preserve">After this integration activity, the Data Science track should have a validated, ranked shortlist of candidate features backed by effect sizes and interaction evidence, rather than treating all dataset variables as equally worth testing in a predictive model.</w:t>
      </w:r>
    </w:p>
    <w:p>
      <w:pPr>
        <w:pStyle w:val="Heading2"/>
        <w:spacing w:after="120" w:before="240"/>
      </w:pPr>
      <w:r>
        <w:t xml:space="preserve">C. Evidence</w:t>
      </w:r>
    </w:p>
    <w:p>
      <w:pPr>
        <w:spacing w:after="160"/>
      </w:pPr>
      <w:r>
        <w:t xml:space="preserve">Evidence of this integration is provided as a standalone document: HealthConnect_Week6_CrossTrack_Integration.docx, which contains the feature handoff content in a form suitable for direct reuse.</w:t>
      </w:r>
    </w:p>
    <w:p>
      <w:pPr>
        <w:pStyle w:val="Heading2"/>
        <w:spacing w:after="120" w:before="240"/>
      </w:pPr>
      <w:r>
        <w:t xml:space="preserve">Note on working arrangement</w:t>
      </w:r>
    </w:p>
    <w:p>
      <w:pPr>
        <w:spacing w:after="160"/>
      </w:pPr>
      <w:r>
        <w:t xml:space="preserve">This internship placement is being completed solo, without an active Data Science-track counterpart to exchange work with in real time. To keep this submission accurate, the integration activity below is documented as a prepared handoff package rather than a two-way exchange that did not occur. The handoff itself is a genuine analytical output that a Data Science track would need and could act on directly.</w:t>
      </w:r>
    </w:p>
    <w:p>
      <w:pPr>
        <w:pStyle w:val="Heading1"/>
        <w:spacing w:after="150" w:before="300"/>
      </w:pPr>
      <w:r>
        <w:t xml:space="preserve">Part 3: Selection of Priority Findings for Deeper Investigation</w:t>
      </w:r>
    </w:p>
    <w:p>
      <w:pPr>
        <w:spacing w:after="160"/>
      </w:pPr>
      <w:r>
        <w:t xml:space="preserve">Week 5 produced six business insights. Rather than re-investigate all of them, three were selected for deeper validation in Week 6, based on effect size, reliability, and actionability:</w:t>
      </w:r>
    </w:p>
    <w:p>
      <w:pPr>
        <w:pStyle w:val="ListParagraph"/>
        <w:numPr>
          <w:ilvl w:val="0"/>
          <w:numId w:val="2"/>
        </w:numPr>
        <w:spacing w:after="80"/>
      </w:pPr>
      <w:r>
        <w:t xml:space="preserve">Distance to clinic - largest single-factor spread found (21.3 percentage points), clean and monotonic across five distance bands, and not yet tested for confounding with other variables.</w:t>
      </w:r>
    </w:p>
    <w:p>
      <w:pPr>
        <w:pStyle w:val="ListParagraph"/>
        <w:numPr>
          <w:ilvl w:val="0"/>
          <w:numId w:val="2"/>
        </w:numPr>
        <w:spacing w:after="80"/>
      </w:pPr>
      <w:r>
        <w:t xml:space="preserve">Prior no-show history - second-largest spread (11.5 percentage points) and a behavioral rather than demographic signal, making it worth testing for interaction with reminders.</w:t>
      </w:r>
    </w:p>
    <w:p>
      <w:pPr>
        <w:pStyle w:val="ListParagraph"/>
        <w:numPr>
          <w:ilvl w:val="0"/>
          <w:numId w:val="2"/>
        </w:numPr>
        <w:spacing w:after="80"/>
      </w:pPr>
      <w:r>
        <w:t xml:space="preserve">Reminder sent (Yes/No) - a smaller effect (4.8 percentage points) than several others, but the only variable in this list that HealthConnect can directly control at zero cost, making it the most operationally relevant lever to validate.</w:t>
      </w:r>
    </w:p>
    <w:p>
      <w:pPr>
        <w:spacing w:after="160"/>
      </w:pPr>
      <w:r>
        <w:t xml:space="preserve">Reminder channel, appointment type, and age group were not carried forward for deeper validation: reminder channel is a sub-question of reminder-sent rather than an independent factor; appointment type and age group showed moderate but already well-understood effects from Week 5 that did not require further testing. Gender and waiting time were excluded entirely, since Week 5 showed gender's apparent gap was driven by a very small sample group, and waiting time showed no relationship to no-shows at all.</w:t>
      </w:r>
    </w:p>
    <w:p>
      <w:pPr>
        <w:pStyle w:val="Heading1"/>
        <w:spacing w:after="150" w:before="300"/>
      </w:pPr>
      <w:r>
        <w:t xml:space="preserve">Part 4: Validation - Distance to Clinic</w:t>
      </w:r>
    </w:p>
    <w:p>
      <w:pPr>
        <w:spacing w:after="160"/>
      </w:pPr>
      <w:r>
        <w:t xml:space="preserve">The Week 5 distance finding was tested for confounding by checking whether the same pattern holds within each age group and each appointment type separately, rather than only in aggregate.</w:t>
      </w:r>
    </w:p>
    <w:p>
      <w:pPr>
        <w:spacing w:after="160"/>
      </w:pPr>
      <w:r>
        <w:t xml:space="preserve">Across all six age groups, no-show rate rises with distance in every group without exception, from roughly 44-54% in the nearest bands up to 57-83% in the 30km+ band, depending on age group. Average distance to clinic is nearly identical across all age groups (9.7 to 10.5 km), confirming that age is not secretly driving the distance effect - the relationship is real and independent.</w:t>
      </w:r>
    </w:p>
    <w:p>
      <w:pPr>
        <w:spacing w:after="160"/>
      </w:pPr>
      <w:r>
        <w:t xml:space="preserve">The same pattern holds within all four appointment types. Diagnostic Test shows the widest range (40.9% at 0-5km rising to 87.5% at 30+km), while General Consultation and Specialist Consultation show a similarly consistent upward trend, though at different baseline levels. Follow-up appointments also rise with distance, from roughly 54% near the clinic to 73.7% far from it.</w:t>
      </w:r>
    </w:p>
    <w:p>
      <w:pPr>
        <w:spacing w:after="160"/>
      </w:pPr>
      <w:r>
        <w:rPr>
          <w:b/>
          <w:bCs/>
        </w:rPr>
        <w:t xml:space="preserve">Conclusion: </w:t>
      </w:r>
      <w:r>
        <w:t xml:space="preserve">the distance effect is validated as a genuine, independent driver of no-shows, not an artifact of age or appointment type. This strengthens the case for a distance-based intervention as a priority recommendation.</w:t>
      </w:r>
    </w:p>
    <w:p>
      <w:pPr>
        <w:pStyle w:val="Heading1"/>
        <w:spacing w:after="150" w:before="300"/>
      </w:pPr>
      <w:r>
        <w:t xml:space="preserve">Part 5: Validation - Reminders and Prior No-Show History</w:t>
      </w:r>
    </w:p>
    <w:p>
      <w:pPr>
        <w:spacing w:after="160"/>
      </w:pPr>
      <w:r>
        <w:t xml:space="preserve">Two questions were tested: does a reminder still help a patient with a prior no-show history, and is the reminder effect consistent across patient segments.</w:t>
      </w:r>
    </w:p>
    <w:p>
      <w:pPr>
        <w:pStyle w:val="Heading2"/>
        <w:spacing w:after="120" w:before="240"/>
      </w:pPr>
      <w:r>
        <w:t xml:space="preserve">Does a reminder still help repeat no-show patients</w:t>
      </w:r>
    </w:p>
    <w:p>
      <w:pPr>
        <w:spacing w:after="160"/>
      </w:pPr>
      <w:r>
        <w:t xml:space="preserve">Yes. Among first-time patients, no-show rate is 49.0% without a reminder versus 45.3% with one. Among patients with a prior no-show, the rate is 62.0% without a reminder versus 56.2% with one. The reminder effect holds in both groups, and is slightly larger for repeat no-show patients (5.8 percentage points) than for first-time patients (3.7 percentage points), meaning reminders are, if anything, more valuable for exactly the patients who need them most.</w:t>
      </w:r>
    </w:p>
    <w:p>
      <w:pPr>
        <w:pStyle w:val="Heading2"/>
        <w:spacing w:after="120" w:before="240"/>
      </w:pPr>
      <w:r>
        <w:t xml:space="preserve">Is the reminder effect consistent across segments</w:t>
      </w:r>
    </w:p>
    <w:p>
      <w:pPr>
        <w:spacing w:after="160"/>
      </w:pPr>
      <w:r>
        <w:t xml:space="preserve">Not fully. By age group, the gap ranges widely, from as little as 1.2 percentage points (45-54 age group) to as much as 10.3 percentage points (35-44 age group), with no clean pattern by age. By appointment type, the variation is more meaningful: Diagnostic Test appointments show by far the largest reminder effect (11.8 percentage points, 49.3% with a reminder versus 61.1% without), while General Consultation shows the smallest (3.6 percentage points). This suggests reminder effectiveness depends more on the type of appointment than on who the patient is.</w:t>
      </w:r>
    </w:p>
    <w:p>
      <w:pPr>
        <w:spacing w:after="160"/>
      </w:pPr>
      <w:r>
        <w:rPr>
          <w:b/>
          <w:bCs/>
        </w:rPr>
        <w:t xml:space="preserve">Conclusion: </w:t>
      </w:r>
      <w:r>
        <w:t xml:space="preserve">the reminder KPI from Week 5 (4.8 percentage-point average impact) is confirmed as real but understates the picture for specific segments. Reminder impact should be reported and acted on by appointment type rather than as a single blanket figure - Diagnostic Test appointments should be the first priority for guaranteed reminder coverage.</w:t>
      </w:r>
    </w:p>
    <w:p>
      <w:pPr>
        <w:pStyle w:val="Heading1"/>
        <w:spacing w:after="150" w:before="300"/>
      </w:pPr>
      <w:r>
        <w:t xml:space="preserve">Part 6: Interaction Effects</w:t>
      </w:r>
    </w:p>
    <w:p>
      <w:pPr>
        <w:pStyle w:val="Heading2"/>
        <w:spacing w:after="120" w:before="240"/>
      </w:pPr>
      <w:r>
        <w:t xml:space="preserve">Distance combined with prior no-show history</w:t>
      </w:r>
    </w:p>
    <w:p>
      <w:pPr>
        <w:spacing w:after="160"/>
      </w:pPr>
      <w:r>
        <w:t xml:space="preserve">This produced the strongest single finding of Week 6. No-show rate compounds when both risk factors are present: patients within 5km with no prior no-show history have a 44.5% no-show rate, while patients living 30km or more away with a prior no-show history have a 77.4% no-show rate - nearly double, and higher than either factor predicts on its own. This combined segment is small (31 appointments in the dataset), so the exact figure should be treated as indicative rather than precise, but the direction and scale of the compounding effect is clear across every distance band: at every distance level, patients with a prior no-show consistently show a higher rate than first-time patients at the same distance.</w:t>
      </w:r>
    </w:p>
    <w:p>
      <w:pPr>
        <w:pStyle w:val="Heading2"/>
        <w:spacing w:after="120" w:before="240"/>
      </w:pPr>
      <w:r>
        <w:t xml:space="preserve">Distance combined with reminder status</w:t>
      </w:r>
    </w:p>
    <w:p>
      <w:pPr>
        <w:spacing w:after="160"/>
      </w:pPr>
      <w:r>
        <w:t xml:space="preserve">This interaction did not produce a reliable result. For most distance bands, reminders reduce no-show rate as expected (for example, at 5-10km: 56.8% without a reminder versus 46.6% with one). However, at 30km or more, the pattern reverses in the raw data (53.3% without a reminder versus 74.5% with one). This reversal is very likely sample noise rather than a genuine effect: only 70 appointments fall into the 30km+ band in total, split unevenly between 15 without a reminder and 55 with one. This result is flagged as inconclusive and not used to support any recommendation.</w:t>
      </w:r>
    </w:p>
    <w:p>
      <w:pPr>
        <w:pStyle w:val="Heading2"/>
        <w:spacing w:after="120" w:before="240"/>
      </w:pPr>
      <w:r>
        <w:t xml:space="preserve">Appointment type combined with prior no-show history</w:t>
      </w:r>
    </w:p>
    <w:p>
      <w:pPr>
        <w:spacing w:after="160"/>
      </w:pPr>
      <w:r>
        <w:t xml:space="preserve">The prior no-show effect holds across every appointment type, with a fairly consistent gap of roughly 9-14 percentage points between first-time and repeat no-show patients in each category. General Consultation shows the largest gap (43.0% versus 57.5%), and Specialist Consultation the smallest (46.9% versus 55.7%), but the direction and rough scale of the effect is stable across all appointment types.</w:t>
      </w:r>
    </w:p>
    <w:p>
      <w:pPr>
        <w:pStyle w:val="Heading1"/>
        <w:spacing w:after="150" w:before="300"/>
      </w:pPr>
      <w:r>
        <w:t xml:space="preserve">Part 7: Refined and Validated KPIs</w:t>
      </w:r>
    </w:p>
    <w:p>
      <w:pPr>
        <w:pStyle w:val="Heading2"/>
        <w:spacing w:after="120" w:before="240"/>
      </w:pPr>
      <w:r>
        <w:t xml:space="preserve">KPI 1 (refined): No-Show Rate by Distance Band, validated as confounder-free</w:t>
      </w:r>
    </w:p>
    <w:p>
      <w:pPr>
        <w:spacing w:after="160"/>
      </w:pPr>
      <w:r>
        <w:t xml:space="preserve">Unchanged from Week 5 in calculation (48.7% to 70.0% across bands), but now confirmed to hold independently of age group and appointment type. Confidence in this KPI as a basis for action has increased.</w:t>
      </w:r>
    </w:p>
    <w:p>
      <w:pPr>
        <w:pStyle w:val="Heading2"/>
        <w:spacing w:after="120" w:before="240"/>
      </w:pPr>
      <w:r>
        <w:t xml:space="preserve">KPI 2 (refined): Reminder Impact, now segmented by appointment type</w:t>
      </w:r>
    </w:p>
    <w:p>
      <w:pPr>
        <w:spacing w:after="160"/>
      </w:pPr>
      <w:r>
        <w:t xml:space="preserve">Revised from a single average figure (4.8 percentage points) to a segment-specific view: Diagnostic Test appointments show an 11.8 percentage-point reminder impact, more than triple the impact seen for General Consultation appointments (3.6 percentage points). The original average masked this variation.</w:t>
      </w:r>
    </w:p>
    <w:p>
      <w:pPr>
        <w:pStyle w:val="Heading2"/>
        <w:spacing w:after="120" w:before="240"/>
      </w:pPr>
      <w:r>
        <w:t xml:space="preserve">New KPI: Compounded Risk Rate (Distance 30km+ and Prior No-Show)</w:t>
      </w:r>
    </w:p>
    <w:p>
      <w:pPr>
        <w:spacing w:after="160"/>
      </w:pPr>
      <w:r>
        <w:rPr>
          <w:b/>
          <w:bCs/>
        </w:rPr>
        <w:t xml:space="preserve">Definition: </w:t>
      </w:r>
      <w:r>
        <w:t xml:space="preserve">no-show rate for the segment of patients who both live 30km or more from the clinic and have at least one prior no-show.</w:t>
      </w:r>
    </w:p>
    <w:p>
      <w:pPr>
        <w:spacing w:after="160"/>
      </w:pPr>
      <w:r>
        <w:rPr>
          <w:b/>
          <w:bCs/>
        </w:rPr>
        <w:t xml:space="preserve">Why it matters: </w:t>
      </w:r>
      <w:r>
        <w:t xml:space="preserve">this identifies the single highest-risk, most actionable patient segment in the dataset for targeted intervention.</w:t>
      </w:r>
    </w:p>
    <w:p>
      <w:pPr>
        <w:spacing w:after="160"/>
      </w:pPr>
      <w:r>
        <w:rPr>
          <w:b/>
          <w:bCs/>
        </w:rPr>
        <w:t xml:space="preserve">Calculation: </w:t>
      </w:r>
      <w:r>
        <w:t xml:space="preserve">77.4% no-show rate (n=31), compared to a 51.2% baseline across all completed appointments.</w:t>
      </w:r>
    </w:p>
    <w:p>
      <w:pPr>
        <w:spacing w:after="160"/>
      </w:pPr>
      <w:r>
        <w:rPr>
          <w:b/>
          <w:bCs/>
        </w:rPr>
        <w:t xml:space="preserve">Business question answered: </w:t>
      </w:r>
      <w:r>
        <w:t xml:space="preserve">which specific combination of patients should receive the most intensive outreach with limited clinic resources.</w:t>
      </w:r>
    </w:p>
    <w:p>
      <w:pPr>
        <w:spacing w:after="160"/>
      </w:pPr>
      <w:r>
        <w:rPr>
          <w:b/>
          <w:bCs/>
        </w:rPr>
        <w:t xml:space="preserve">Interpretation: </w:t>
      </w:r>
      <w:r>
        <w:t xml:space="preserve">this segment no-shows at roughly 1.5 times the overall rate. Although the sample size is small, the direction is consistent with the underlying single-factor trends, and this group represents the clearest candidate for priority intervention (for example, a confirmation phone call rather than an automated reminder).</w:t>
      </w:r>
    </w:p>
    <w:p>
      <w:pPr>
        <w:pStyle w:val="Heading1"/>
        <w:spacing w:after="150" w:before="300"/>
      </w:pPr>
      <w:r>
        <w:t xml:space="preserve">Part 8: Evidence-Based Business Recommendations</w:t>
      </w:r>
    </w:p>
    <w:p>
      <w:pPr>
        <w:pStyle w:val="ListParagraph"/>
        <w:numPr>
          <w:ilvl w:val="0"/>
          <w:numId w:val="2"/>
        </w:numPr>
        <w:spacing w:after="80"/>
      </w:pPr>
      <w:r>
        <w:t xml:space="preserve">Prioritize reminder coverage for Diagnostic Test appointments first. This appointment type shows the largest reminder effect (11.8 percentage points) of any category, meaning the same reminder effort produces a disproportionately larger reduction in no-shows here than elsewhere.</w:t>
      </w:r>
    </w:p>
    <w:p>
      <w:pPr>
        <w:pStyle w:val="ListParagraph"/>
        <w:numPr>
          <w:ilvl w:val="0"/>
          <w:numId w:val="2"/>
        </w:numPr>
        <w:spacing w:after="80"/>
      </w:pPr>
      <w:r>
        <w:t xml:space="preserve">Introduce a distance-based intervention (telehealth follow-up option or transport support) for patients living 20km or more from the clinic, since the distance effect is now confirmed as independent of age and appointment type, not a side effect of who tends to live further away.</w:t>
      </w:r>
    </w:p>
    <w:p>
      <w:pPr>
        <w:pStyle w:val="ListParagraph"/>
        <w:numPr>
          <w:ilvl w:val="0"/>
          <w:numId w:val="2"/>
        </w:numPr>
        <w:spacing w:after="80"/>
      </w:pPr>
      <w:r>
        <w:t xml:space="preserve">Flag the compounded-risk segment (30km+ and prior no-show, 77.4% no-show rate) for manual confirmation calls rather than standard automated reminders, since this group represents the single highest concentration of no-show risk identified in the dataset.</w:t>
      </w:r>
    </w:p>
    <w:p>
      <w:pPr>
        <w:pStyle w:val="ListParagraph"/>
        <w:numPr>
          <w:ilvl w:val="0"/>
          <w:numId w:val="2"/>
        </w:numPr>
        <w:spacing w:after="80"/>
      </w:pPr>
      <w:r>
        <w:t xml:space="preserve">Continue sending reminders to patients with a prior no-show history rather than assuming they are a lost cause - the reminder effect is slightly larger for this group (5.8 percentage points) than for first-time patients (3.7 percentage points).</w:t>
      </w:r>
    </w:p>
    <w:p>
      <w:pPr>
        <w:pStyle w:val="ListParagraph"/>
        <w:numPr>
          <w:ilvl w:val="0"/>
          <w:numId w:val="2"/>
        </w:numPr>
        <w:spacing w:after="80"/>
      </w:pPr>
      <w:r>
        <w:t xml:space="preserve">Do not treat the distance x reminder interaction at 30km+ as actionable yet; the sample size (70 appointments) is too small to draw a reliable conclusion, and more data collection at this distance range should precede any policy change there.</w:t>
      </w:r>
    </w:p>
    <w:p>
      <w:pPr>
        <w:pStyle w:val="Heading1"/>
        <w:spacing w:after="150" w:before="300"/>
      </w:pPr>
      <w:r>
        <w:t xml:space="preserve">Part 9: Assumptions, Limitations, Risks and Dependencies (Reviewed)</w:t>
      </w:r>
    </w:p>
    <w:p>
      <w:pPr>
        <w:pStyle w:val="Heading2"/>
        <w:spacing w:after="120" w:before="240"/>
      </w:pPr>
      <w:r>
        <w:t xml:space="preserve">Resolved since Week 4/5</w:t>
      </w:r>
    </w:p>
    <w:p>
      <w:pPr>
        <w:pStyle w:val="ListParagraph"/>
        <w:numPr>
          <w:ilvl w:val="0"/>
          <w:numId w:val="2"/>
        </w:numPr>
        <w:spacing w:after="80"/>
      </w:pPr>
      <w:r>
        <w:t xml:space="preserve">The treatment of the Cancelled outcome category (a Week 4 open question) was resolved in Week 5 by excluding cancellations from the no-show rate denominator, and this decision held up under no further challenge in Week 6.</w:t>
      </w:r>
    </w:p>
    <w:p>
      <w:pPr>
        <w:pStyle w:val="ListParagraph"/>
        <w:numPr>
          <w:ilvl w:val="0"/>
          <w:numId w:val="2"/>
        </w:numPr>
        <w:spacing w:after="80"/>
      </w:pPr>
      <w:r>
        <w:t xml:space="preserve">The Week 5 concern that single-factor findings might not reflect real independent relationships has been addressed for the two strongest findings: distance to clinic and reminder effectiveness were both validated as holding within age group and appointment type subgroups, not just in aggregate.</w:t>
      </w:r>
    </w:p>
    <w:p>
      <w:pPr>
        <w:pStyle w:val="Heading2"/>
        <w:spacing w:after="120" w:before="240"/>
      </w:pPr>
      <w:r>
        <w:t xml:space="preserve">Remaining unresolved</w:t>
      </w:r>
    </w:p>
    <w:p>
      <w:pPr>
        <w:pStyle w:val="ListParagraph"/>
        <w:numPr>
          <w:ilvl w:val="0"/>
          <w:numId w:val="2"/>
        </w:numPr>
        <w:spacing w:after="80"/>
      </w:pPr>
      <w:r>
        <w:t xml:space="preserve">The dataset remains fictional and anonymized; all findings, including the Week 6 compounded-risk finding, would still need validation against real clinic data before any operational rollout.</w:t>
      </w:r>
    </w:p>
    <w:p>
      <w:pPr>
        <w:pStyle w:val="ListParagraph"/>
        <w:numPr>
          <w:ilvl w:val="0"/>
          <w:numId w:val="2"/>
        </w:numPr>
        <w:spacing w:after="80"/>
      </w:pPr>
      <w:r>
        <w:t xml:space="preserve">Missing values in distance_to_clinic_km and waiting_time_minutes (identified in Week 5) were left blank rather than imputed and remain unaddressed, since imputation was outside the scope of validation work this week.</w:t>
      </w:r>
    </w:p>
    <w:p>
      <w:pPr>
        <w:pStyle w:val="ListParagraph"/>
        <w:numPr>
          <w:ilvl w:val="0"/>
          <w:numId w:val="2"/>
        </w:numPr>
        <w:spacing w:after="80"/>
      </w:pPr>
      <w:r>
        <w:t xml:space="preserve">All relationships identified remain correlational, not causal; no controlled experiment (e.g. a reminder A/B test) has been run to confirm reminders directly cause reduced no-shows rather than merely correlating with it.</w:t>
      </w:r>
    </w:p>
    <w:p>
      <w:pPr>
        <w:pStyle w:val="Heading2"/>
        <w:spacing w:after="120" w:before="240"/>
      </w:pPr>
      <w:r>
        <w:t xml:space="preserve">New issues discovered in Week 6</w:t>
      </w:r>
    </w:p>
    <w:p>
      <w:pPr>
        <w:pStyle w:val="ListParagraph"/>
        <w:numPr>
          <w:ilvl w:val="0"/>
          <w:numId w:val="2"/>
        </w:numPr>
        <w:spacing w:after="80"/>
      </w:pPr>
      <w:r>
        <w:t xml:space="preserve">The compounded-risk segment (distance 30km+ combined with prior no-show) rests on only 31 appointments, too small a sample to treat the exact 77.4% figure as precise, though the direction of the effect is well supported by the underlying single-factor trends.</w:t>
      </w:r>
    </w:p>
    <w:p>
      <w:pPr>
        <w:pStyle w:val="ListParagraph"/>
        <w:numPr>
          <w:ilvl w:val="0"/>
          <w:numId w:val="2"/>
        </w:numPr>
        <w:spacing w:after="80"/>
      </w:pPr>
      <w:r>
        <w:t xml:space="preserve">The distance-reminder interaction at 30km+ produced a result that reversed direction from expectation, traced to an even smaller sample (70 appointments). This was correctly withheld from the recommendations rather than reported as a finding, but it flags that further interaction analysis at extreme distance bands needs more data before it can be trusted.</w:t>
      </w:r>
    </w:p>
    <w:p>
      <w:pPr>
        <w:pStyle w:val="ListParagraph"/>
        <w:numPr>
          <w:ilvl w:val="0"/>
          <w:numId w:val="2"/>
        </w:numPr>
        <w:spacing w:after="80"/>
      </w:pPr>
      <w:r>
        <w:t xml:space="preserve">Reminder effectiveness was found to vary meaningfully by appointment type but not consistently by age group, indicating that any future reminder-targeting strategy should be built around appointment type, not patient demographics.</w:t>
      </w:r>
    </w:p>
    <w:p>
      <w:pPr>
        <w:pStyle w:val="Heading2"/>
        <w:spacing w:after="120" w:before="240"/>
      </w:pPr>
      <w:r>
        <w:t xml:space="preserve">New cross-track dependency</w:t>
      </w:r>
    </w:p>
    <w:p>
      <w:pPr>
        <w:pStyle w:val="ListParagraph"/>
        <w:numPr>
          <w:ilvl w:val="0"/>
          <w:numId w:val="2"/>
        </w:numPr>
        <w:spacing w:after="80"/>
      </w:pPr>
      <w:r>
        <w:t xml:space="preserve">The Data Science track now has a direct dependency on this week's validated feature ranking (see Part 10 and the Cross-Track Integration Evidence document) for its Week 6 feature refinement work, where previously the dependency was only anticipated rather than acted on.</w:t>
      </w:r>
    </w:p>
    <w:p>
      <w:pPr>
        <w:pStyle w:val="Heading2"/>
        <w:spacing w:after="120" w:before="240"/>
      </w:pPr>
      <w:r>
        <w:t xml:space="preserve">Potential impact and recommended mitigation</w:t>
      </w:r>
    </w:p>
    <w:p>
      <w:pPr>
        <w:pStyle w:val="ListParagraph"/>
        <w:numPr>
          <w:ilvl w:val="0"/>
          <w:numId w:val="2"/>
        </w:numPr>
        <w:spacing w:after="80"/>
      </w:pPr>
      <w:r>
        <w:t xml:space="preserve">Impact: small-sample findings (compounded risk, distance-reminder interaction at 30km+) could mislead resource allocation if treated with the same confidence as the large-sample findings. Mitigation: both are explicitly flagged as directionally indicative rather than precise throughout this report and the dashboard, and are recommended for re-validation once more data is available (see Week 7 requirements, Part 11).</w:t>
      </w:r>
    </w:p>
    <w:p>
      <w:pPr>
        <w:pStyle w:val="ListParagraph"/>
        <w:numPr>
          <w:ilvl w:val="0"/>
          <w:numId w:val="2"/>
        </w:numPr>
        <w:spacing w:after="80"/>
      </w:pPr>
      <w:r>
        <w:t xml:space="preserve">Impact: correlational findings could be mistaken for proven causal effects by non-technical stakeholders reading the dashboard. Mitigation: business recommendations in Part 8 are framed as interventions worth testing rather than guaranteed fixes, and this limitation is stated plainly here and in the Week 6 Project Summary.</w:t>
      </w:r>
    </w:p>
    <w:p>
      <w:pPr>
        <w:pStyle w:val="Heading1"/>
        <w:spacing w:after="150" w:before="300"/>
      </w:pPr>
      <w:r>
        <w:t xml:space="preserve">Part 11: Cross-Track Contribution</w:t>
      </w:r>
    </w:p>
    <w:p>
      <w:pPr>
        <w:spacing w:after="160"/>
      </w:pPr>
      <w:r>
        <w:t xml:space="preserve">A ranked feature handoff was prepared for the Data Science track, identifying distance to clinic, prior no-show history, and reminder status (with its appointment-type-specific variation) as the validated, priority candidate features for a no-show prediction model, along with the compounded-risk interaction effect as a potential engineered feature. Full detail is provided in the accompanying Cross-Track Integration Evidence document.</w:t>
      </w:r>
    </w:p>
    <w:p>
      <w:pPr>
        <w:pStyle w:val="Heading1"/>
        <w:spacing w:after="150" w:before="300"/>
      </w:pPr>
      <w:r>
        <w:t xml:space="preserve">Part 12: Week 7 Analytical Testing Requirements</w:t>
      </w:r>
    </w:p>
    <w:p>
      <w:pPr>
        <w:pStyle w:val="ListParagraph"/>
        <w:numPr>
          <w:ilvl w:val="0"/>
          <w:numId w:val="2"/>
        </w:numPr>
        <w:spacing w:after="80"/>
      </w:pPr>
      <w:r>
        <w:t xml:space="preserve">Validate the compounded-risk segment finding (30km+ and prior no-show) against a larger sample if more data becomes available, since the current finding rests on only 31 appointments.</w:t>
      </w:r>
    </w:p>
    <w:p>
      <w:pPr>
        <w:pStyle w:val="ListParagraph"/>
        <w:numPr>
          <w:ilvl w:val="0"/>
          <w:numId w:val="2"/>
        </w:numPr>
        <w:spacing w:after="80"/>
      </w:pPr>
      <w:r>
        <w:t xml:space="preserve">Re-test the distance x reminder interaction once more 30km+ appointments are available, since the current result is inconclusive due to sample size.</w:t>
      </w:r>
    </w:p>
    <w:p>
      <w:pPr>
        <w:pStyle w:val="ListParagraph"/>
        <w:numPr>
          <w:ilvl w:val="0"/>
          <w:numId w:val="2"/>
        </w:numPr>
        <w:spacing w:after="80"/>
      </w:pPr>
      <w:r>
        <w:t xml:space="preserve">If a Data Science baseline model becomes available, compare its feature importance ranking against the effect sizes validated in this report to check for agreement or disagreement.</w:t>
      </w:r>
    </w:p>
    <w:p>
      <w:pPr>
        <w:pStyle w:val="ListParagraph"/>
        <w:numPr>
          <w:ilvl w:val="0"/>
          <w:numId w:val="2"/>
        </w:numPr>
        <w:spacing w:after="80"/>
      </w:pPr>
      <w:r>
        <w:t xml:space="preserve">Test whether the appointment-type-specific reminder effect (especially the strong Diagnostic Test result) holds if reminder timing or lead time is also considered, since this was not tested in Week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2026-09-13T05:59:42.449Z</dcterms:created>
  <dcterms:modified xsi:type="dcterms:W3CDTF">2026-09-13T05:59:42.457Z</dcterms:modified>
</cp:coreProperties>
</file>

<file path=docProps/custom.xml><?xml version="1.0" encoding="utf-8"?>
<Properties xmlns="http://schemas.openxmlformats.org/officeDocument/2006/custom-properties" xmlns:vt="http://schemas.openxmlformats.org/officeDocument/2006/docPropsVTypes"/>
</file>