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HealthConnect Clinic - Final Analytics &amp; Decision Support Package</w:t>
      </w:r>
    </w:p>
    <w:p>
      <w:pPr>
        <w:spacing w:after="600"/>
        <w:jc w:val="center"/>
      </w:pPr>
      <w:r>
        <w:rPr>
          <w:i/>
          <w:iCs/>
          <w:sz w:val="24"/>
          <w:szCs w:val="24"/>
        </w:rPr>
        <w:t xml:space="preserve">Week 8: Final Integration, Presentation &amp; Project Showcase</w:t>
      </w:r>
    </w:p>
    <w:p>
      <w:pPr>
        <w:spacing w:after="60"/>
        <w:jc w:val="center"/>
      </w:pPr>
      <w:r>
        <w:t xml:space="preserve">AnalystLab Africa Experience Lab - Data Analytics Track</w:t>
      </w:r>
    </w:p>
    <w:p>
      <w:pPr>
        <w:spacing w:after="60"/>
        <w:jc w:val="center"/>
      </w:pPr>
      <w:r>
        <w:t xml:space="preserve">Prepared using HealthConnect_Appointment_Data.csv (5,000 records)</w:t>
      </w:r>
    </w:p>
    <w:p>
      <w:r>
        <w:br w:type="page"/>
      </w:r>
    </w:p>
    <w:p>
      <w:pPr>
        <w:pStyle w:val="Heading1"/>
        <w:spacing w:after="150" w:before="300"/>
      </w:pPr>
      <w:r>
        <w:t xml:space="preserve">Executive Summary</w:t>
      </w:r>
    </w:p>
    <w:p>
      <w:pPr>
        <w:spacing w:after="160"/>
      </w:pPr>
      <w:r>
        <w:t xml:space="preserve">HealthConnect Clinic loses roughly half of its booked, non-cancelled appointment slots to no-shows: 51.2% of completed appointments end in a no-show, versus 5.3% that are cancelled in advance. Across eight weeks of analysis, testing, and validation, two factors stand out as the strongest, most reliable predictors of a missed appointment: how far a patient lives from the clinic, and whether they have missed an appointment before. Patients living more than 30km away no-show at 70.0%, compared to 48.7% for patients within 5km. Patients with a prior no-show miss again at 57.8%, compared to 46.3% for first-time patients. When both factors are present, the no-show rate rises to 77.4%. Reminders reduce no-shows by 4.8 percentage points on average, though this effect is more than three times stronger for Diagnostic Test appointments than for General Consultations. Every figure in this summary was independently re-derived and confirmed accurate during Week 7 testing, and re-confirmed unchanged for this final package. Three recommendations follow directly from this evidence: prioritize reminder coverage for Diagnostic Test appointments, introduce a distance-based intervention for patients living 20km or more away, and flag the combined distance-and-history risk segment for manual outreach rather than automated reminders alone.</w:t>
      </w:r>
    </w:p>
    <w:p>
      <w:pPr>
        <w:pStyle w:val="Heading1"/>
        <w:spacing w:after="150" w:before="300"/>
      </w:pPr>
      <w:r>
        <w:t xml:space="preserve">Week 7 to Week 8 Transition</w:t>
      </w:r>
    </w:p>
    <w:p>
      <w:pPr>
        <w:spacing w:after="100"/>
      </w:pPr>
      <w:r>
        <w:rPr>
          <w:b/>
          <w:bCs/>
        </w:rPr>
        <w:t xml:space="preserve">Main Week 7 output: </w:t>
      </w:r>
      <w:r>
        <w:t xml:space="preserve">a HealthConnect Analytics Testing &amp; Refinement Report containing 11 formal test records, before/after documentation of two corrected dashboard defects, and a retest of the Week 6 Data Science handoff.</w:t>
      </w:r>
    </w:p>
    <w:p>
      <w:pPr>
        <w:spacing w:after="100"/>
      </w:pPr>
      <w:r>
        <w:rPr>
          <w:b/>
          <w:bCs/>
        </w:rPr>
        <w:t xml:space="preserve">Most important testing result: </w:t>
      </w:r>
      <w:r>
        <w:t xml:space="preserve">every KPI figure and dashboard value was independently re-derived from the raw dataset using a separate calculation method, and all matched exactly - confirming the analytics package was accurate and had not drifted from its underlying data.</w:t>
      </w:r>
    </w:p>
    <w:p>
      <w:pPr>
        <w:spacing w:after="100"/>
      </w:pPr>
      <w:r>
        <w:rPr>
          <w:b/>
          <w:bCs/>
        </w:rPr>
        <w:t xml:space="preserve">Major issue discovered during testing: </w:t>
      </w:r>
      <w:r>
        <w:t xml:space="preserve">no new issue was found during Week 7 testing itself; the major issues had already been discovered and fixed during Week 6 dashboard construction (a mis-scaled Compounded Risk Rate measure, and a reminder-by-appointment-type chart showing duplicated and later raw-count values). Week 7's role was to confirm those fixes held under independent re-verification, which they did.</w:t>
      </w:r>
    </w:p>
    <w:p>
      <w:pPr>
        <w:spacing w:after="100"/>
      </w:pPr>
      <w:r>
        <w:rPr>
          <w:b/>
          <w:bCs/>
        </w:rPr>
        <w:t xml:space="preserve">What was refined or improved: </w:t>
      </w:r>
      <w:r>
        <w:t xml:space="preserve">sample-size labelling was added to the Compounded Risk Rate KPI card and matrix so a small-sample finding (n=31) is never presented with the same apparent confidence as the full-sample headline metrics; dashboard filter behaviour was explicitly tested rather than assumed correct.</w:t>
      </w:r>
    </w:p>
    <w:p>
      <w:pPr>
        <w:spacing w:after="100"/>
      </w:pPr>
      <w:r>
        <w:rPr>
          <w:b/>
          <w:bCs/>
        </w:rPr>
        <w:t xml:space="preserve">Component now considered ready: </w:t>
      </w:r>
      <w:r>
        <w:t xml:space="preserve">the full analytics package - KPIs, dashboard, and validated findings - is considered final and ready for presentation, since it has passed independent testing with zero unresolved discrepancies.</w:t>
      </w:r>
    </w:p>
    <w:p>
      <w:pPr>
        <w:spacing w:after="100"/>
      </w:pPr>
      <w:r>
        <w:rPr>
          <w:b/>
          <w:bCs/>
        </w:rPr>
        <w:t xml:space="preserve">What still needs to be integrated: </w:t>
      </w:r>
      <w:r>
        <w:t xml:space="preserve">nothing blocking remains on the Data Analytics side; the one open item is a final comparison against Data Science model output, if and when that becomes available, which is noted as a nice-to-have rather than a dependency this track is waiting on.</w:t>
      </w:r>
    </w:p>
    <w:p>
      <w:pPr>
        <w:spacing w:after="100"/>
      </w:pPr>
      <w:r>
        <w:rPr>
          <w:b/>
          <w:bCs/>
        </w:rPr>
        <w:t xml:space="preserve">Track(s) involved in final integration: </w:t>
      </w:r>
      <w:r>
        <w:t xml:space="preserve">Data Science, as the recipient of this track's validated feature findings.</w:t>
      </w:r>
    </w:p>
    <w:p>
      <w:pPr>
        <w:spacing w:after="100"/>
      </w:pPr>
      <w:r>
        <w:rPr>
          <w:b/>
          <w:bCs/>
        </w:rPr>
        <w:t xml:space="preserve">What this intends to demonstrate in the final presentation: </w:t>
      </w:r>
      <w:r>
        <w:t xml:space="preserve">that the HealthConnect no-show problem can be understood, quantified, and acted on using evidence that has been built, independently tested, and confirmed accurate across four consecutive weeks of work - not a one-off analysis, but a validated decision-support package.</w:t>
      </w:r>
    </w:p>
    <w:p>
      <w:pPr>
        <w:pStyle w:val="Heading1"/>
        <w:spacing w:after="150" w:before="300"/>
      </w:pPr>
      <w:r>
        <w:t xml:space="preserve">Part 1: Final Integration Readiness</w:t>
      </w:r>
    </w:p>
    <w:p>
      <w:pPr>
        <w:spacing w:after="100"/>
      </w:pPr>
      <w:r>
        <w:rPr>
          <w:b/>
          <w:bCs/>
        </w:rPr>
        <w:t xml:space="preserve">Final component: </w:t>
      </w:r>
      <w:r>
        <w:t xml:space="preserve">the HealthConnect no-show analytics package - a validated Power BI dashboard, a set of five defined and tested KPIs, and a documented set of business insights and recommendations covering appointment attendance patterns.</w:t>
      </w:r>
    </w:p>
    <w:p>
      <w:pPr>
        <w:spacing w:after="100"/>
      </w:pPr>
      <w:r>
        <w:rPr>
          <w:b/>
          <w:bCs/>
        </w:rPr>
        <w:t xml:space="preserve">Problem it addresses: </w:t>
      </w:r>
      <w:r>
        <w:t xml:space="preserve">HealthConnect Clinic's difficulty understanding which factors drive missed appointments, and its inability to prioritize limited administrative resources (reminders, outreach) toward the patients most likely to no-show.</w:t>
      </w:r>
    </w:p>
    <w:p>
      <w:pPr>
        <w:spacing w:after="100"/>
      </w:pPr>
      <w:r>
        <w:rPr>
          <w:b/>
          <w:bCs/>
        </w:rPr>
        <w:t xml:space="preserve">Current status: </w:t>
      </w:r>
      <w:r>
        <w:t xml:space="preserve">complete and independently tested. All KPI calculations and dashboard values were re-derived from raw data in Week 7 with zero discrepancies found across 11 separate tests.</w:t>
      </w:r>
    </w:p>
    <w:p>
      <w:pPr>
        <w:spacing w:after="100"/>
      </w:pPr>
      <w:r>
        <w:rPr>
          <w:b/>
          <w:bCs/>
        </w:rPr>
        <w:t xml:space="preserve">What was improved during Week 7: </w:t>
      </w:r>
      <w:r>
        <w:t xml:space="preserve">two dashboard defects identified during Week 6 construction (a mis-scaled Compounded Risk Rate measure, and a reminder-by-appointment-type chart showing duplicated and later raw-count values) were confirmed fixed and verified accurate; dashboard filters were tested for correct single and compound behaviour; sample-size labelling was added to the Compounded Risk Rate finding so a small-sample result cannot be mistaken for one with the same statistical weight as the full-sample headline metrics.</w:t>
      </w:r>
    </w:p>
    <w:p>
      <w:pPr>
        <w:spacing w:after="100"/>
      </w:pPr>
      <w:r>
        <w:rPr>
          <w:b/>
          <w:bCs/>
        </w:rPr>
        <w:t xml:space="preserve">Track(s) this depends on: </w:t>
      </w:r>
      <w:r>
        <w:t xml:space="preserve">none upstream - the Data Analytics track's work in this project begins directly from the raw HealthConnect Appointment Dataset.</w:t>
      </w:r>
    </w:p>
    <w:p>
      <w:pPr>
        <w:spacing w:after="100"/>
      </w:pPr>
      <w:r>
        <w:rPr>
          <w:b/>
          <w:bCs/>
        </w:rPr>
        <w:t xml:space="preserve">Track(s) that depend on this output: </w:t>
      </w:r>
      <w:r>
        <w:t xml:space="preserve">Data Science, whose candidate feature selection for a no-show prediction model was built directly on the validated feature rankings (distance, prior no-show history, reminder status by appointment type) produced by this track in Weeks 6 and 7.</w:t>
      </w:r>
    </w:p>
    <w:p>
      <w:pPr>
        <w:spacing w:after="100"/>
      </w:pPr>
      <w:r>
        <w:rPr>
          <w:b/>
          <w:bCs/>
        </w:rPr>
        <w:t xml:space="preserve">Output provided: </w:t>
      </w:r>
      <w:r>
        <w:t xml:space="preserve">a ranked, effect-size-quantified, independently re-tested set of predictive features and interaction effects, documented in the Week 6 Cross-Track Integration Evidence and re-verified in the Week 7 report, Part 9.</w:t>
      </w:r>
    </w:p>
    <w:p>
      <w:pPr>
        <w:spacing w:after="100"/>
      </w:pPr>
      <w:r>
        <w:rPr>
          <w:b/>
          <w:bCs/>
        </w:rPr>
        <w:t xml:space="preserve">Output needed from another track: </w:t>
      </w:r>
      <w:r>
        <w:t xml:space="preserve">none was required to complete this track's own deliverable; if a Data Science baseline or refined model becomes available, comparing its feature importance output against this track's validated effect sizes would be a valuable final cross-check, noted as an open opportunity rather than a blocking dependency.</w:t>
      </w:r>
    </w:p>
    <w:p>
      <w:pPr>
        <w:spacing w:after="100"/>
      </w:pPr>
      <w:r>
        <w:rPr>
          <w:b/>
          <w:bCs/>
        </w:rPr>
        <w:t xml:space="preserve">Evidence of readiness: </w:t>
      </w:r>
      <w:r>
        <w:t xml:space="preserve">the Week 5 Analytics Report, Week 6 Advanced Analytics Report, Week 6 Cross-Track Integration Evidence, and Week 7 Testing &amp; Refinement Report, together with the final Power BI dashboard, all internally consistent and cross-referenced.</w:t>
      </w:r>
    </w:p>
    <w:p>
      <w:pPr>
        <w:spacing w:after="100"/>
      </w:pPr>
      <w:r>
        <w:rPr>
          <w:b/>
          <w:bCs/>
        </w:rPr>
        <w:t xml:space="preserve">Limitations remaining: </w:t>
      </w:r>
      <w:r>
        <w:t xml:space="preserve">the dataset is fictional and anonymized; the compounded-risk finding (n=31) remains a small sample; all relationships remain correlational rather than causal. These are documented in full in Part 6 below and were not resolved by testing, since resolving them was outside this track's scope.</w:t>
      </w:r>
    </w:p>
    <w:p>
      <w:pPr>
        <w:pStyle w:val="Heading1"/>
        <w:spacing w:after="150" w:before="300"/>
      </w:pPr>
      <w:r>
        <w:t xml:space="preserve">Part 1b: Final Dashboard Figure Confirmation</w:t>
      </w:r>
    </w:p>
    <w:p>
      <w:pPr>
        <w:spacing w:after="160"/>
      </w:pPr>
      <w:r>
        <w:t xml:space="preserve">Before finalizing this package, the five headline KPI cards and the two Week 6/7 visuals (the Distance x Prior No-Show History matrix and the Appointment Type x Reminder Status chart) were checked once more against the figures stated in the Week 7 Testing &amp; Refinement Report. All values matched with no changes: 51.2% No-Show Rate, 5.3% Cancellation Rate, 4.8 percentage-point average Reminder Impact, 77.4% Compounded Risk Rate (n=31), and the full five-band Distance to Clinic breakdown (48.7% to 70.0%). This is a final confirmation step, not a repeat of Week 7's full 11-test procedure, since no changes were made to any measure or the underlying dataset between Week 7 and this final package.</w:t>
      </w:r>
    </w:p>
    <w:p>
      <w:pPr>
        <w:pStyle w:val="Heading1"/>
        <w:spacing w:after="150" w:before="300"/>
      </w:pPr>
      <w:r>
        <w:t xml:space="preserve">Part 2: Final KPIs</w:t>
      </w:r>
    </w:p>
    <w:p>
      <w:pPr>
        <w:spacing w:after="160"/>
      </w:pPr>
      <w:r>
        <w:t xml:space="preserve">Five KPIs were defined, calculated, validated, and independently re-tested across the project. All five remain unchanged and confirmed accurate as of the final package:</w:t>
      </w:r>
    </w:p>
    <w:p>
      <w:pPr>
        <w:pStyle w:val="ListParagraph"/>
        <w:numPr>
          <w:ilvl w:val="0"/>
          <w:numId w:val="2"/>
        </w:numPr>
        <w:spacing w:after="80"/>
      </w:pPr>
      <w:r>
        <w:t xml:space="preserve">Overall No-Show Rate: 51.2% of completed appointments (Attended + No-Show), excluding cancellations.</w:t>
      </w:r>
    </w:p>
    <w:p>
      <w:pPr>
        <w:pStyle w:val="ListParagraph"/>
        <w:numPr>
          <w:ilvl w:val="0"/>
          <w:numId w:val="2"/>
        </w:numPr>
        <w:spacing w:after="80"/>
      </w:pPr>
      <w:r>
        <w:t xml:space="preserve">Reminder Impact: a 4.8 percentage-point average reduction in no-shows when a reminder is sent, ranging from 3.6 points (General Consultation) to 11.8 points (Diagnostic Test) depending on appointment type.</w:t>
      </w:r>
    </w:p>
    <w:p>
      <w:pPr>
        <w:pStyle w:val="ListParagraph"/>
        <w:numPr>
          <w:ilvl w:val="0"/>
          <w:numId w:val="2"/>
        </w:numPr>
        <w:spacing w:after="80"/>
      </w:pPr>
      <w:r>
        <w:t xml:space="preserve">No-Show Rate by Distance Band: rising from 48.7% (0-5km) to 70.0% (30km+), confirmed independent of age group and appointment type.</w:t>
      </w:r>
    </w:p>
    <w:p>
      <w:pPr>
        <w:pStyle w:val="ListParagraph"/>
        <w:numPr>
          <w:ilvl w:val="0"/>
          <w:numId w:val="2"/>
        </w:numPr>
        <w:spacing w:after="80"/>
      </w:pPr>
      <w:r>
        <w:t xml:space="preserve">Cancellation Rate: 5.3% of all booked appointments, confirming no-shows rather than cancellations as the primary loss driver.</w:t>
      </w:r>
    </w:p>
    <w:p>
      <w:pPr>
        <w:pStyle w:val="ListParagraph"/>
        <w:numPr>
          <w:ilvl w:val="0"/>
          <w:numId w:val="2"/>
        </w:numPr>
        <w:spacing w:after="80"/>
      </w:pPr>
      <w:r>
        <w:t xml:space="preserve">Compounded Risk Rate: 77.4% for the segment of patients living 30km or more away with a prior no-show (n=31), the highest no-show rate of any segment identified.</w:t>
      </w:r>
    </w:p>
    <w:p>
      <w:pPr>
        <w:pStyle w:val="Heading1"/>
        <w:spacing w:after="150" w:before="300"/>
      </w:pPr>
      <w:r>
        <w:t xml:space="preserve">Part 3: Validated Key Findings</w:t>
      </w:r>
    </w:p>
    <w:p>
      <w:pPr>
        <w:pStyle w:val="ListParagraph"/>
        <w:numPr>
          <w:ilvl w:val="0"/>
          <w:numId w:val="2"/>
        </w:numPr>
        <w:spacing w:after="80"/>
      </w:pPr>
      <w:r>
        <w:t xml:space="preserve">Distance to clinic is the strongest single predictor of no-shows found across the entire project, and this relationship was confirmed independent of age group and appointment type in Week 6, then independently re-confirmed accurate in Week 7.</w:t>
      </w:r>
    </w:p>
    <w:p>
      <w:pPr>
        <w:pStyle w:val="ListParagraph"/>
        <w:numPr>
          <w:ilvl w:val="0"/>
          <w:numId w:val="2"/>
        </w:numPr>
        <w:spacing w:after="80"/>
      </w:pPr>
      <w:r>
        <w:t xml:space="preserve">Prior no-show history is the second-strongest predictor, and reminders remain effective for this group specifically (a 5.8 percentage-point reduction, slightly larger than the 3.7-point reduction for first-time patients).</w:t>
      </w:r>
    </w:p>
    <w:p>
      <w:pPr>
        <w:pStyle w:val="ListParagraph"/>
        <w:numPr>
          <w:ilvl w:val="0"/>
          <w:numId w:val="2"/>
        </w:numPr>
        <w:spacing w:after="80"/>
      </w:pPr>
      <w:r>
        <w:t xml:space="preserve">Distance and prior no-show history compound rather than simply add together: the combined segment's 77.4% rate is higher than either factor predicts alone.</w:t>
      </w:r>
    </w:p>
    <w:p>
      <w:pPr>
        <w:pStyle w:val="ListParagraph"/>
        <w:numPr>
          <w:ilvl w:val="0"/>
          <w:numId w:val="2"/>
        </w:numPr>
        <w:spacing w:after="80"/>
      </w:pPr>
      <w:r>
        <w:t xml:space="preserve">Reminder effectiveness depends far more on appointment type than on patient demographics; age-group variation in reminder impact showed no consistent pattern, while appointment-type variation was large and consistent.</w:t>
      </w:r>
    </w:p>
    <w:p>
      <w:pPr>
        <w:pStyle w:val="ListParagraph"/>
        <w:numPr>
          <w:ilvl w:val="0"/>
          <w:numId w:val="2"/>
        </w:numPr>
        <w:spacing w:after="80"/>
      </w:pPr>
      <w:r>
        <w:t xml:space="preserve">Waiting time shows no meaningful relationship to no-show behaviour, meaning operational effort to reduce waiting times should not be expected to reduce no-shows on its own, whatever other value it may have for patient experience.</w:t>
      </w:r>
    </w:p>
    <w:p>
      <w:pPr>
        <w:pStyle w:val="Heading1"/>
        <w:spacing w:after="150" w:before="300"/>
      </w:pPr>
      <w:r>
        <w:t xml:space="preserve">Part 4: Key Visualizations</w:t>
      </w:r>
    </w:p>
    <w:p>
      <w:pPr>
        <w:spacing w:after="160"/>
      </w:pPr>
      <w:r>
        <w:t xml:space="preserve">The final Power BI dashboard (HealthConnect Clinic: Patient Attendance &amp; Risk Insights) presents these findings through: six KPI cards including the headline No-Show Rate and the Compounded Risk Rate with its sample size shown transparently; a monthly no-show rate trend line covering the full Jan 2025 to Jun 2026 date range; a matrix showing No-Show Rate by Distance and Prior No-Show History, with the highest-risk cell visually highlighted; a chart showing No-Show Rate by Appointment Type and Reminder Status; and supporting breakdown charts by appointment type, distance to clinic, and patient age group. Six slicers (Age Group, Appointment Type, Date, Distance Band, Prior No-Show Status, Reminder Sent) allow interactive filtering, all independently tested for correct behaviour in Week 7.</w:t>
      </w:r>
    </w:p>
    <w:p>
      <w:pPr>
        <w:pStyle w:val="Heading1"/>
        <w:spacing w:after="150" w:before="300"/>
      </w:pPr>
      <w:r>
        <w:t xml:space="preserve">Part 5: Business Insights and Recommendations</w:t>
      </w:r>
    </w:p>
    <w:p>
      <w:pPr>
        <w:pStyle w:val="Heading2"/>
        <w:spacing w:after="120" w:before="240"/>
      </w:pPr>
      <w:r>
        <w:t xml:space="preserve">Insights</w:t>
      </w:r>
    </w:p>
    <w:p>
      <w:pPr>
        <w:pStyle w:val="ListParagraph"/>
        <w:numPr>
          <w:ilvl w:val="0"/>
          <w:numId w:val="2"/>
        </w:numPr>
        <w:spacing w:after="80"/>
      </w:pPr>
      <w:r>
        <w:t xml:space="preserve">Where a patient lives is a bigger factor in whether they attend than who they are - the distance effect is larger than any demographic factor tested and holds independently of age and appointment type.</w:t>
      </w:r>
    </w:p>
    <w:p>
      <w:pPr>
        <w:pStyle w:val="ListParagraph"/>
        <w:numPr>
          <w:ilvl w:val="0"/>
          <w:numId w:val="2"/>
        </w:numPr>
        <w:spacing w:after="80"/>
      </w:pPr>
      <w:r>
        <w:t xml:space="preserve">A blanket reminder policy leaves value on the table - the same reminder produces more than three times the benefit for Diagnostic Test appointments as for General Consultation appointments.</w:t>
      </w:r>
    </w:p>
    <w:p>
      <w:pPr>
        <w:pStyle w:val="ListParagraph"/>
        <w:numPr>
          <w:ilvl w:val="0"/>
          <w:numId w:val="2"/>
        </w:numPr>
        <w:spacing w:after="80"/>
      </w:pPr>
      <w:r>
        <w:t xml:space="preserve">No-shows, not cancellations, are HealthConnect's real problem - patients who no-show outnumber those who proactively cancel by roughly nine to one.</w:t>
      </w:r>
    </w:p>
    <w:p>
      <w:pPr>
        <w:pStyle w:val="Heading2"/>
        <w:spacing w:after="120" w:before="240"/>
      </w:pPr>
      <w:r>
        <w:t xml:space="preserve">Recommendations</w:t>
      </w:r>
    </w:p>
    <w:p>
      <w:pPr>
        <w:pStyle w:val="ListParagraph"/>
        <w:numPr>
          <w:ilvl w:val="0"/>
          <w:numId w:val="2"/>
        </w:numPr>
        <w:spacing w:after="80"/>
      </w:pPr>
      <w:r>
        <w:t xml:space="preserve">Prioritize guaranteed reminder coverage for Diagnostic Test appointments first, given the confirmed 11.8 percentage-point effect - the largest return on reminder effort of any appointment type.</w:t>
      </w:r>
    </w:p>
    <w:p>
      <w:pPr>
        <w:pStyle w:val="ListParagraph"/>
        <w:numPr>
          <w:ilvl w:val="0"/>
          <w:numId w:val="2"/>
        </w:numPr>
        <w:spacing w:after="80"/>
      </w:pPr>
      <w:r>
        <w:t xml:space="preserve">Introduce a distance-based intervention (telehealth follow-up option or transport support) for patients living 20km or more from the clinic, given the confirmed, non-confounded distance relationship.</w:t>
      </w:r>
    </w:p>
    <w:p>
      <w:pPr>
        <w:pStyle w:val="ListParagraph"/>
        <w:numPr>
          <w:ilvl w:val="0"/>
          <w:numId w:val="2"/>
        </w:numPr>
        <w:spacing w:after="80"/>
      </w:pPr>
      <w:r>
        <w:t xml:space="preserve">Flag the compounded-risk segment (30km+ distance combined with a prior no-show) for manual confirmation calls rather than standard automated reminders, since this group represents the single highest concentration of no-show risk identified across the project.</w:t>
      </w:r>
    </w:p>
    <w:p>
      <w:pPr>
        <w:pStyle w:val="ListParagraph"/>
        <w:numPr>
          <w:ilvl w:val="0"/>
          <w:numId w:val="2"/>
        </w:numPr>
        <w:spacing w:after="80"/>
      </w:pPr>
      <w:r>
        <w:t xml:space="preserve">Continue sending reminders to patients with a prior no-show history rather than deprioritizing them - the reminder effect is, if anything, slightly larger for this group than for first-time patients.</w:t>
      </w:r>
    </w:p>
    <w:p>
      <w:pPr>
        <w:pStyle w:val="Heading2"/>
        <w:spacing w:after="120" w:before="240"/>
      </w:pPr>
      <w:r>
        <w:t xml:space="preserve">How these findings support HealthConnect's decisions</w:t>
      </w:r>
    </w:p>
    <w:p>
      <w:pPr>
        <w:spacing w:after="160"/>
      </w:pPr>
      <w:r>
        <w:t xml:space="preserve">Each recommendation targets a specific, measurable lever HealthConnect can act on with its existing administrative resources - reminder timing and channel, and follow-up outreach - rather than requiring new infrastructure. Framing recommendations around validated effect sizes rather than general impressions allows HealthConnect to prioritize the interventions most likely to reduce its no-show rate materially, starting with the two highest-leverage segments identified here.</w:t>
      </w:r>
    </w:p>
    <w:p>
      <w:pPr>
        <w:pStyle w:val="Heading1"/>
        <w:spacing w:after="150" w:before="300"/>
      </w:pPr>
      <w:r>
        <w:t xml:space="preserve">Part 6: Analytical Limitations</w:t>
      </w:r>
    </w:p>
    <w:p>
      <w:pPr>
        <w:pStyle w:val="ListParagraph"/>
        <w:numPr>
          <w:ilvl w:val="0"/>
          <w:numId w:val="2"/>
        </w:numPr>
        <w:spacing w:after="80"/>
      </w:pPr>
      <w:r>
        <w:t xml:space="preserve">The dataset is fictional and anonymized; every finding in this package would need validation against real clinic data before any operational rollout.</w:t>
      </w:r>
    </w:p>
    <w:p>
      <w:pPr>
        <w:pStyle w:val="ListParagraph"/>
        <w:numPr>
          <w:ilvl w:val="0"/>
          <w:numId w:val="2"/>
        </w:numPr>
        <w:spacing w:after="80"/>
      </w:pPr>
      <w:r>
        <w:t xml:space="preserve">Missing values in distance_to_clinic_km and waiting_time_minutes were left blank rather than imputed throughout the project, since this was outside the scope of the work completed.</w:t>
      </w:r>
    </w:p>
    <w:p>
      <w:pPr>
        <w:pStyle w:val="ListParagraph"/>
        <w:numPr>
          <w:ilvl w:val="0"/>
          <w:numId w:val="2"/>
        </w:numPr>
        <w:spacing w:after="80"/>
      </w:pPr>
      <w:r>
        <w:t xml:space="preserve">All relationships identified are correlational, not causal. Testing in Week 7 confirmed the underlying calculations are correct, but could not and did not establish that reminders or distance directly cause changes in attendance behaviour.</w:t>
      </w:r>
    </w:p>
    <w:p>
      <w:pPr>
        <w:pStyle w:val="ListParagraph"/>
        <w:numPr>
          <w:ilvl w:val="0"/>
          <w:numId w:val="2"/>
        </w:numPr>
        <w:spacing w:after="80"/>
      </w:pPr>
      <w:r>
        <w:t xml:space="preserve">The compounded-risk finding (n=31) and any other segment-level breakdown below roughly 50 appointments should be treated as directionally indicative rather than statistically robust; this was confirmed unchanged, not resolved, by Week 7 testing.</w:t>
      </w:r>
    </w:p>
    <w:p>
      <w:pPr>
        <w:pStyle w:val="Heading1"/>
        <w:spacing w:after="150" w:before="300"/>
      </w:pPr>
      <w:r>
        <w:t xml:space="preserve">Part 7: Cross-Track Contribution</w:t>
      </w:r>
    </w:p>
    <w:p>
      <w:pPr>
        <w:spacing w:after="160"/>
      </w:pPr>
      <w:r>
        <w:t xml:space="preserve">This internship placement was completed solo, without a live Data Science-track counterpart to exchange work with directly. In the interest of accurately representing actual progress, this section describes what was genuinely prepared and self-verified, rather than implying a two-way exchange that did not occur.</w:t>
      </w:r>
    </w:p>
    <w:p>
      <w:pPr>
        <w:spacing w:after="160"/>
      </w:pPr>
      <w:r>
        <w:t xml:space="preserve">In Week 6, a ranked feature handoff document was prepared for the Data Science track, identifying distance to clinic, prior no-show history, and reminder status (interacted with appointment type) as validated candidate features for a no-show prediction model, along with a compounded-risk engineered feature. In Week 7, every effect size in that handoff was independently retested against a fresh recalculation from the raw dataset and confirmed unchanged - closing the loop from 'a handoff was prepared' to 'a handoff was prepared and independently verified as accurate,' which is the standard the project's testing stage required. This final package carries that verified handoff forward unchanged, since no new discrepancy has been found since.</w:t>
      </w:r>
    </w:p>
    <w:p>
      <w:pPr>
        <w:pStyle w:val="Heading1"/>
        <w:spacing w:after="150" w:before="300"/>
      </w:pPr>
      <w:r>
        <w:t xml:space="preserve">Part 8: Presentation Materials Note</w:t>
      </w:r>
    </w:p>
    <w:p>
      <w:pPr>
        <w:spacing w:after="160"/>
      </w:pPr>
      <w:r>
        <w:t xml:space="preserve">This report, the accompanying Power BI dashboard file, and the individual video presentation together constitute the Data Analytics track's Week 8 presentation materials. The dashboard is presented in its final, tested state (validated in Week 7, carried forward unchanged), and the video presentation walks through the same findings summarized in this report for a live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2026-09-22T03:11:45.165Z</dcterms:created>
  <dcterms:modified xsi:type="dcterms:W3CDTF">2026-09-22T03:11:45.166Z</dcterms:modified>
</cp:coreProperties>
</file>

<file path=docProps/custom.xml><?xml version="1.0" encoding="utf-8"?>
<Properties xmlns="http://schemas.openxmlformats.org/officeDocument/2006/custom-properties" xmlns:vt="http://schemas.openxmlformats.org/officeDocument/2006/docPropsVTypes"/>
</file>