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FF2DD6" w:rsidRPr="00FF2DD6" w14:paraId="4159696F" w14:textId="77777777">
              <w:trPr>
                <w:tblCellSpacing w:w="15" w:type="dxa"/>
              </w:trPr>
              <w:tc>
                <w:tcPr>
                  <w:tcW w:w="0" w:type="auto"/>
                  <w:vAlign w:val="center"/>
                  <w:hideMark/>
                </w:tcPr>
                <w:p w14:paraId="413FA2E8" w14:textId="77777777" w:rsidR="00FF2DD6" w:rsidRPr="00FF2DD6" w:rsidRDefault="00FF2DD6" w:rsidP="00FF2DD6">
                  <w:pPr>
                    <w:framePr w:hSpace="141" w:wrap="around" w:vAnchor="text" w:hAnchor="text" w:xAlign="center" w:y="1"/>
                    <w:jc w:val="both"/>
                    <w:rPr>
                      <w:rFonts w:asciiTheme="minorHAnsi" w:eastAsiaTheme="minorEastAsia" w:hAnsiTheme="minorHAnsi" w:cstheme="minorBidi"/>
                      <w:color w:val="3B3838" w:themeColor="background2" w:themeShade="40"/>
                      <w:lang w:val="es-US"/>
                    </w:rPr>
                  </w:pPr>
                  <w:r w:rsidRPr="00FF2DD6">
                    <w:rPr>
                      <w:rFonts w:asciiTheme="minorHAnsi" w:eastAsiaTheme="minorEastAsia" w:hAnsiTheme="minorHAnsi" w:cstheme="minorBidi"/>
                      <w:color w:val="3B3838" w:themeColor="background2" w:themeShade="40"/>
                      <w:lang w:val="es-US"/>
                    </w:rPr>
                    <w:t xml:space="preserve">El proyecto consiste en una plataforma web para Atriles Croma con catálogo digital, pedidos bajo fabricación y cotizaciones personalizadas. Es </w:t>
                  </w:r>
                  <w:r w:rsidRPr="00FF2DD6">
                    <w:rPr>
                      <w:rFonts w:asciiTheme="minorHAnsi" w:eastAsiaTheme="minorEastAsia" w:hAnsiTheme="minorHAnsi" w:cstheme="minorBidi"/>
                      <w:color w:val="3B3838" w:themeColor="background2" w:themeShade="40"/>
                      <w:lang w:val="es-US"/>
                    </w:rPr>
                    <w:lastRenderedPageBreak/>
                    <w:t>relevante porque moderniza procesos y da competitividad a una empresa real que aún no cuenta con una solución digital.</w:t>
                  </w:r>
                </w:p>
              </w:tc>
            </w:tr>
          </w:tbl>
          <w:p w14:paraId="1E2EA849" w14:textId="77777777" w:rsidR="00FF2DD6" w:rsidRPr="00FF2DD6" w:rsidRDefault="00FF2DD6" w:rsidP="00FF2DD6">
            <w:pPr>
              <w:jc w:val="both"/>
              <w:rPr>
                <w:rFonts w:asciiTheme="minorHAnsi" w:eastAsiaTheme="minorEastAsia" w:hAnsiTheme="minorHAnsi" w:cstheme="minorBidi"/>
                <w:vanish/>
                <w:color w:val="3B3838" w:themeColor="background2" w:themeShade="40"/>
                <w:lang w:val="es-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2DD6" w:rsidRPr="00FF2DD6" w14:paraId="71E46476" w14:textId="77777777">
              <w:trPr>
                <w:tblCellSpacing w:w="15" w:type="dxa"/>
              </w:trPr>
              <w:tc>
                <w:tcPr>
                  <w:tcW w:w="0" w:type="auto"/>
                  <w:vAlign w:val="center"/>
                  <w:hideMark/>
                </w:tcPr>
                <w:p w14:paraId="7EFAADA4" w14:textId="77777777" w:rsidR="00FF2DD6" w:rsidRPr="00FF2DD6" w:rsidRDefault="00FF2DD6" w:rsidP="00FF2DD6">
                  <w:pPr>
                    <w:framePr w:hSpace="141" w:wrap="around" w:vAnchor="text" w:hAnchor="text" w:xAlign="center" w:y="1"/>
                    <w:jc w:val="both"/>
                    <w:rPr>
                      <w:rFonts w:asciiTheme="minorHAnsi" w:eastAsiaTheme="minorEastAsia" w:hAnsiTheme="minorHAnsi" w:cstheme="minorBidi"/>
                      <w:color w:val="3B3838" w:themeColor="background2" w:themeShade="40"/>
                      <w:lang w:val="es-US"/>
                    </w:rPr>
                  </w:pPr>
                </w:p>
              </w:tc>
            </w:tr>
          </w:tbl>
          <w:p w14:paraId="156D9FC3" w14:textId="2DDE390E"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2190" w:type="dxa"/>
          </w:tcPr>
          <w:p w14:paraId="2996B889" w14:textId="52E87FF5" w:rsidR="001C0F79" w:rsidRPr="00A86516" w:rsidRDefault="267074E2"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w:t>
            </w:r>
          </w:p>
        </w:tc>
        <w:tc>
          <w:tcPr>
            <w:tcW w:w="2235" w:type="dxa"/>
            <w:hideMark/>
          </w:tcPr>
          <w:p w14:paraId="16321832" w14:textId="3C81C0A8"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1945" w:type="dxa"/>
            <w:hideMark/>
          </w:tcPr>
          <w:p w14:paraId="1AD6E107" w14:textId="58C8C106"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FF2DD6" w:rsidRPr="00FF2DD6" w14:paraId="31DB7EC4" w14:textId="77777777">
              <w:trPr>
                <w:tblCellSpacing w:w="15" w:type="dxa"/>
              </w:trPr>
              <w:tc>
                <w:tcPr>
                  <w:tcW w:w="0" w:type="auto"/>
                  <w:vAlign w:val="center"/>
                  <w:hideMark/>
                </w:tcPr>
                <w:p w14:paraId="37C8EA91" w14:textId="77777777" w:rsidR="00FF2DD6" w:rsidRPr="00FF2DD6" w:rsidRDefault="00FF2DD6" w:rsidP="00FF2DD6">
                  <w:pPr>
                    <w:framePr w:hSpace="141" w:wrap="around" w:vAnchor="text" w:hAnchor="text" w:xAlign="center" w:y="1"/>
                    <w:jc w:val="both"/>
                    <w:rPr>
                      <w:rFonts w:asciiTheme="minorHAnsi" w:eastAsiaTheme="minorEastAsia" w:hAnsiTheme="minorHAnsi" w:cstheme="minorBidi"/>
                      <w:color w:val="3B3838" w:themeColor="background2" w:themeShade="40"/>
                      <w:lang w:val="es-US"/>
                    </w:rPr>
                  </w:pPr>
                  <w:r w:rsidRPr="00FF2DD6">
                    <w:rPr>
                      <w:rFonts w:asciiTheme="minorHAnsi" w:eastAsiaTheme="minorEastAsia" w:hAnsiTheme="minorHAnsi" w:cstheme="minorBidi"/>
                      <w:color w:val="3B3838" w:themeColor="background2" w:themeShade="40"/>
                      <w:lang w:val="es-US"/>
                    </w:rPr>
                    <w:t>Se conecta con competencias como: desarrollo de software, administración de BD, gestión de proyectos, análisis de requerimientos y seguridad informática. Todas se aplican en las fases del proyecto.</w:t>
                  </w:r>
                </w:p>
              </w:tc>
            </w:tr>
          </w:tbl>
          <w:p w14:paraId="4C9AE09F" w14:textId="77777777" w:rsidR="00FF2DD6" w:rsidRPr="00FF2DD6" w:rsidRDefault="00FF2DD6" w:rsidP="00FF2DD6">
            <w:pPr>
              <w:jc w:val="both"/>
              <w:rPr>
                <w:rFonts w:asciiTheme="minorHAnsi" w:eastAsiaTheme="minorEastAsia" w:hAnsiTheme="minorHAnsi" w:cstheme="minorBidi"/>
                <w:vanish/>
                <w:color w:val="3B3838" w:themeColor="background2" w:themeShade="40"/>
                <w:lang w:val="es-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2DD6" w:rsidRPr="00FF2DD6" w14:paraId="065AFBE8" w14:textId="77777777">
              <w:trPr>
                <w:tblCellSpacing w:w="15" w:type="dxa"/>
              </w:trPr>
              <w:tc>
                <w:tcPr>
                  <w:tcW w:w="0" w:type="auto"/>
                  <w:vAlign w:val="center"/>
                  <w:hideMark/>
                </w:tcPr>
                <w:p w14:paraId="6CA80F2C" w14:textId="77777777" w:rsidR="00FF2DD6" w:rsidRPr="00FF2DD6" w:rsidRDefault="00FF2DD6" w:rsidP="00FF2DD6">
                  <w:pPr>
                    <w:framePr w:hSpace="141" w:wrap="around" w:vAnchor="text" w:hAnchor="text" w:xAlign="center" w:y="1"/>
                    <w:jc w:val="both"/>
                    <w:rPr>
                      <w:rFonts w:asciiTheme="minorHAnsi" w:eastAsiaTheme="minorEastAsia" w:hAnsiTheme="minorHAnsi" w:cstheme="minorBidi"/>
                      <w:color w:val="3B3838" w:themeColor="background2" w:themeShade="40"/>
                      <w:lang w:val="es-US"/>
                    </w:rPr>
                  </w:pPr>
                </w:p>
              </w:tc>
            </w:tr>
          </w:tbl>
          <w:p w14:paraId="6E094A27" w14:textId="49D2D1D6"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2190" w:type="dxa"/>
          </w:tcPr>
          <w:p w14:paraId="756EA397" w14:textId="482300DE"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2235" w:type="dxa"/>
          </w:tcPr>
          <w:p w14:paraId="3086C793" w14:textId="01E528E8"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1945" w:type="dxa"/>
          </w:tcPr>
          <w:p w14:paraId="3DA325A6" w14:textId="4F5F011B"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FF2DD6" w:rsidRPr="00FF2DD6" w14:paraId="05F052C0" w14:textId="77777777">
              <w:trPr>
                <w:tblCellSpacing w:w="15" w:type="dxa"/>
              </w:trPr>
              <w:tc>
                <w:tcPr>
                  <w:tcW w:w="0" w:type="auto"/>
                  <w:vAlign w:val="center"/>
                  <w:hideMark/>
                </w:tcPr>
                <w:p w14:paraId="269D91D5" w14:textId="77777777" w:rsidR="00FF2DD6" w:rsidRPr="00FF2DD6" w:rsidRDefault="00FF2DD6" w:rsidP="00FF2DD6">
                  <w:pPr>
                    <w:framePr w:hSpace="141" w:wrap="around" w:vAnchor="text" w:hAnchor="text" w:xAlign="center" w:y="1"/>
                    <w:jc w:val="both"/>
                    <w:rPr>
                      <w:rFonts w:asciiTheme="minorHAnsi" w:eastAsiaTheme="minorEastAsia" w:hAnsiTheme="minorHAnsi" w:cstheme="minorBidi"/>
                      <w:color w:val="3B3838" w:themeColor="background2" w:themeShade="40"/>
                      <w:lang w:val="es-US" w:eastAsia="es-CL"/>
                    </w:rPr>
                  </w:pPr>
                  <w:r w:rsidRPr="00FF2DD6">
                    <w:rPr>
                      <w:rFonts w:asciiTheme="minorHAnsi" w:eastAsiaTheme="minorEastAsia" w:hAnsiTheme="minorHAnsi" w:cstheme="minorBidi"/>
                      <w:color w:val="3B3838" w:themeColor="background2" w:themeShade="40"/>
                      <w:lang w:val="es-US" w:eastAsia="es-CL"/>
                    </w:rPr>
                    <w:t>El proyecto refleja mis intereses: desarrollo web, liderazgo de proyectos e inteligencia de negocios. Me permite fortalecer estas áreas en un caso real y práctico.</w:t>
                  </w:r>
                </w:p>
              </w:tc>
            </w:tr>
          </w:tbl>
          <w:p w14:paraId="6FA35654" w14:textId="77777777" w:rsidR="00FF2DD6" w:rsidRPr="00FF2DD6" w:rsidRDefault="00FF2DD6" w:rsidP="00FF2DD6">
            <w:pPr>
              <w:jc w:val="both"/>
              <w:rPr>
                <w:rFonts w:asciiTheme="minorHAnsi" w:eastAsiaTheme="minorEastAsia" w:hAnsiTheme="minorHAnsi" w:cstheme="minorBidi"/>
                <w:vanish/>
                <w:color w:val="3B3838" w:themeColor="background2" w:themeShade="40"/>
                <w:lang w:val="es-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2DD6" w:rsidRPr="00FF2DD6" w14:paraId="280FA19C" w14:textId="77777777">
              <w:trPr>
                <w:tblCellSpacing w:w="15" w:type="dxa"/>
              </w:trPr>
              <w:tc>
                <w:tcPr>
                  <w:tcW w:w="0" w:type="auto"/>
                  <w:vAlign w:val="center"/>
                  <w:hideMark/>
                </w:tcPr>
                <w:p w14:paraId="6833D8C3" w14:textId="77777777" w:rsidR="00FF2DD6" w:rsidRPr="00FF2DD6" w:rsidRDefault="00FF2DD6" w:rsidP="00FF2DD6">
                  <w:pPr>
                    <w:framePr w:hSpace="141" w:wrap="around" w:vAnchor="text" w:hAnchor="text" w:xAlign="center" w:y="1"/>
                    <w:jc w:val="both"/>
                    <w:rPr>
                      <w:rFonts w:asciiTheme="minorHAnsi" w:eastAsiaTheme="minorEastAsia" w:hAnsiTheme="minorHAnsi" w:cstheme="minorBidi"/>
                      <w:color w:val="3B3838" w:themeColor="background2" w:themeShade="40"/>
                      <w:lang w:val="es-US" w:eastAsia="es-CL"/>
                    </w:rPr>
                  </w:pPr>
                </w:p>
              </w:tc>
            </w:tr>
          </w:tbl>
          <w:p w14:paraId="48CE56D8" w14:textId="0ABA44D4"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2190" w:type="dxa"/>
          </w:tcPr>
          <w:p w14:paraId="2EE689A4" w14:textId="26EF1F3B"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2235" w:type="dxa"/>
          </w:tcPr>
          <w:p w14:paraId="5D3B2501" w14:textId="3E8DE656"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1945" w:type="dxa"/>
          </w:tcPr>
          <w:p w14:paraId="41077BB1" w14:textId="64CA4B27"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4"/>
            </w:tblGrid>
            <w:tr w:rsidR="00FF2DD6" w:rsidRPr="00FF2DD6" w14:paraId="3F923206" w14:textId="77777777">
              <w:trPr>
                <w:tblCellSpacing w:w="15" w:type="dxa"/>
              </w:trPr>
              <w:tc>
                <w:tcPr>
                  <w:tcW w:w="0" w:type="auto"/>
                  <w:vAlign w:val="center"/>
                  <w:hideMark/>
                </w:tcPr>
                <w:p w14:paraId="207EE7E0" w14:textId="77777777" w:rsidR="00FF2DD6" w:rsidRPr="00FF2DD6" w:rsidRDefault="00FF2DD6" w:rsidP="00FF2DD6">
                  <w:pPr>
                    <w:framePr w:hSpace="141" w:wrap="around" w:vAnchor="text" w:hAnchor="text" w:xAlign="center" w:y="1"/>
                    <w:jc w:val="both"/>
                    <w:rPr>
                      <w:rFonts w:asciiTheme="minorHAnsi" w:eastAsiaTheme="minorEastAsia" w:hAnsiTheme="minorHAnsi" w:cstheme="minorBidi"/>
                      <w:color w:val="3B3838" w:themeColor="background2" w:themeShade="40"/>
                      <w:lang w:val="es-US" w:eastAsia="es-CL"/>
                    </w:rPr>
                  </w:pPr>
                  <w:r w:rsidRPr="00FF2DD6">
                    <w:rPr>
                      <w:rFonts w:asciiTheme="minorHAnsi" w:eastAsiaTheme="minorEastAsia" w:hAnsiTheme="minorHAnsi" w:cstheme="minorBidi"/>
                      <w:color w:val="3B3838" w:themeColor="background2" w:themeShade="40"/>
                      <w:lang w:val="es-US" w:eastAsia="es-CL"/>
                    </w:rPr>
                    <w:t xml:space="preserve">El proyecto es factible porque está planificado en 18 semanas, con recursos accesibles (PC, hosting, dominio, internet). Además, el alcance está acotado y se consideraron formas </w:t>
                  </w:r>
                  <w:r w:rsidRPr="00FF2DD6">
                    <w:rPr>
                      <w:rFonts w:asciiTheme="minorHAnsi" w:eastAsiaTheme="minorEastAsia" w:hAnsiTheme="minorHAnsi" w:cstheme="minorBidi"/>
                      <w:color w:val="3B3838" w:themeColor="background2" w:themeShade="40"/>
                      <w:lang w:val="es-US" w:eastAsia="es-CL"/>
                    </w:rPr>
                    <w:lastRenderedPageBreak/>
                    <w:t>de superar posibles dificultades.</w:t>
                  </w:r>
                </w:p>
              </w:tc>
            </w:tr>
          </w:tbl>
          <w:p w14:paraId="6695EC1D" w14:textId="77777777" w:rsidR="00FF2DD6" w:rsidRPr="00FF2DD6" w:rsidRDefault="00FF2DD6" w:rsidP="00FF2DD6">
            <w:pPr>
              <w:jc w:val="both"/>
              <w:rPr>
                <w:rFonts w:asciiTheme="minorHAnsi" w:eastAsiaTheme="minorEastAsia" w:hAnsiTheme="minorHAnsi" w:cstheme="minorBidi"/>
                <w:vanish/>
                <w:color w:val="3B3838" w:themeColor="background2" w:themeShade="40"/>
                <w:lang w:val="es-US" w:eastAsia="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F2DD6" w:rsidRPr="00FF2DD6" w14:paraId="51BD90BD" w14:textId="77777777">
              <w:trPr>
                <w:tblCellSpacing w:w="15" w:type="dxa"/>
              </w:trPr>
              <w:tc>
                <w:tcPr>
                  <w:tcW w:w="0" w:type="auto"/>
                  <w:vAlign w:val="center"/>
                  <w:hideMark/>
                </w:tcPr>
                <w:p w14:paraId="20900FDF" w14:textId="77777777" w:rsidR="00FF2DD6" w:rsidRPr="00FF2DD6" w:rsidRDefault="00FF2DD6" w:rsidP="00FF2DD6">
                  <w:pPr>
                    <w:framePr w:hSpace="141" w:wrap="around" w:vAnchor="text" w:hAnchor="text" w:xAlign="center" w:y="1"/>
                    <w:jc w:val="both"/>
                    <w:rPr>
                      <w:rFonts w:asciiTheme="minorHAnsi" w:eastAsiaTheme="minorEastAsia" w:hAnsiTheme="minorHAnsi" w:cstheme="minorBidi"/>
                      <w:color w:val="3B3838" w:themeColor="background2" w:themeShade="40"/>
                      <w:lang w:val="es-US" w:eastAsia="es-CL"/>
                    </w:rPr>
                  </w:pPr>
                </w:p>
              </w:tc>
            </w:tr>
          </w:tbl>
          <w:p w14:paraId="76696DCF" w14:textId="35476384"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2190" w:type="dxa"/>
          </w:tcPr>
          <w:p w14:paraId="45A6891F" w14:textId="2E096B41"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2235" w:type="dxa"/>
          </w:tcPr>
          <w:p w14:paraId="20E74BE5" w14:textId="3A646B37"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1945" w:type="dxa"/>
          </w:tcPr>
          <w:p w14:paraId="64575DAA" w14:textId="3971E536" w:rsidR="001C0F79" w:rsidRPr="00A86516" w:rsidRDefault="001C0F79" w:rsidP="6033A9FF">
            <w:pPr>
              <w:jc w:val="both"/>
              <w:rPr>
                <w:rFonts w:asciiTheme="minorHAnsi" w:eastAsiaTheme="minorEastAsia" w:hAnsiTheme="minorHAnsi" w:cstheme="minorBidi"/>
                <w:color w:val="3B3838" w:themeColor="background2" w:themeShade="40"/>
                <w:lang w:eastAsia="es-CL"/>
              </w:rPr>
            </w:pP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tcPr>
          <w:p w14:paraId="65853987" w14:textId="77777777" w:rsidR="00FF2DD6" w:rsidRDefault="00FF2DD6" w:rsidP="00FF2DD6">
            <w:pPr>
              <w:jc w:val="both"/>
              <w:rPr>
                <w:lang w:val="es-US" w:eastAsia="es-US"/>
              </w:rPr>
            </w:pPr>
            <w:r>
              <w:t xml:space="preserve">El documento cumple con los indicadores de calidad: claridad en la redacción, formato técnico correcto (portada, índice, </w:t>
            </w:r>
            <w:proofErr w:type="spellStart"/>
            <w:r>
              <w:t>abstract</w:t>
            </w:r>
            <w:proofErr w:type="spellEnd"/>
            <w:r>
              <w:t>, conclusiones, reflexión), uso de inglés en apartados solicitados y evidencia tangible del producto final.</w:t>
            </w:r>
          </w:p>
          <w:p w14:paraId="5CD07275" w14:textId="6173265A" w:rsidR="0004580B" w:rsidRPr="0004580B" w:rsidRDefault="0004580B" w:rsidP="6033A9FF">
            <w:pPr>
              <w:jc w:val="both"/>
              <w:rPr>
                <w:rFonts w:asciiTheme="minorHAnsi" w:eastAsiaTheme="minorEastAsia" w:hAnsiTheme="minorHAnsi" w:cstheme="minorBidi"/>
                <w:lang w:eastAsia="es-CL"/>
              </w:rPr>
            </w:pPr>
          </w:p>
        </w:tc>
        <w:tc>
          <w:tcPr>
            <w:tcW w:w="2190" w:type="dxa"/>
          </w:tcPr>
          <w:p w14:paraId="43C3D76F" w14:textId="19932D74" w:rsidR="0004580B" w:rsidRPr="0004580B" w:rsidRDefault="0004580B" w:rsidP="6033A9FF">
            <w:pPr>
              <w:jc w:val="both"/>
              <w:rPr>
                <w:rFonts w:asciiTheme="minorHAnsi" w:eastAsiaTheme="minorEastAsia" w:hAnsiTheme="minorHAnsi" w:cstheme="minorBidi"/>
                <w:lang w:eastAsia="es-CL"/>
              </w:rPr>
            </w:pPr>
          </w:p>
        </w:tc>
        <w:tc>
          <w:tcPr>
            <w:tcW w:w="2235" w:type="dxa"/>
          </w:tcPr>
          <w:p w14:paraId="4B2C8A80" w14:textId="3E437E0D" w:rsidR="0004580B" w:rsidRPr="0004580B" w:rsidRDefault="0004580B" w:rsidP="6033A9FF">
            <w:pPr>
              <w:jc w:val="both"/>
              <w:rPr>
                <w:rFonts w:asciiTheme="minorHAnsi" w:eastAsiaTheme="minorEastAsia" w:hAnsiTheme="minorHAnsi" w:cstheme="minorBidi"/>
                <w:lang w:eastAsia="es-CL"/>
              </w:rPr>
            </w:pPr>
          </w:p>
        </w:tc>
        <w:tc>
          <w:tcPr>
            <w:tcW w:w="1945" w:type="dxa"/>
          </w:tcPr>
          <w:p w14:paraId="06CA2DCA" w14:textId="3E479A6E" w:rsidR="0004580B" w:rsidRPr="0004580B" w:rsidRDefault="0004580B" w:rsidP="6033A9FF">
            <w:pPr>
              <w:jc w:val="both"/>
              <w:rPr>
                <w:rFonts w:asciiTheme="minorHAnsi" w:eastAsiaTheme="minorEastAsia" w:hAnsiTheme="minorHAnsi" w:cstheme="minorBidi"/>
                <w:lang w:eastAsia="es-CL"/>
              </w:rPr>
            </w:pP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lastRenderedPageBreak/>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C72FA1" w14:textId="77777777" w:rsidR="004546A7" w:rsidRDefault="004546A7" w:rsidP="00B2162E">
      <w:r>
        <w:separator/>
      </w:r>
    </w:p>
  </w:endnote>
  <w:endnote w:type="continuationSeparator" w:id="0">
    <w:p w14:paraId="1900751B" w14:textId="77777777" w:rsidR="004546A7" w:rsidRDefault="004546A7"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018D50" w14:textId="77777777" w:rsidR="004546A7" w:rsidRDefault="004546A7" w:rsidP="00B2162E">
      <w:r>
        <w:separator/>
      </w:r>
    </w:p>
  </w:footnote>
  <w:footnote w:type="continuationSeparator" w:id="0">
    <w:p w14:paraId="0452D93A" w14:textId="77777777" w:rsidR="004546A7" w:rsidRDefault="004546A7"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47674930">
    <w:abstractNumId w:val="3"/>
  </w:num>
  <w:num w:numId="2" w16cid:durableId="1439831222">
    <w:abstractNumId w:val="12"/>
  </w:num>
  <w:num w:numId="3" w16cid:durableId="1036004097">
    <w:abstractNumId w:val="24"/>
  </w:num>
  <w:num w:numId="4" w16cid:durableId="1711605638">
    <w:abstractNumId w:val="20"/>
  </w:num>
  <w:num w:numId="5" w16cid:durableId="352192231">
    <w:abstractNumId w:val="5"/>
  </w:num>
  <w:num w:numId="6" w16cid:durableId="1287469770">
    <w:abstractNumId w:val="17"/>
  </w:num>
  <w:num w:numId="7" w16cid:durableId="220218053">
    <w:abstractNumId w:val="23"/>
  </w:num>
  <w:num w:numId="8" w16cid:durableId="1570924996">
    <w:abstractNumId w:val="25"/>
  </w:num>
  <w:num w:numId="9" w16cid:durableId="1272467812">
    <w:abstractNumId w:val="8"/>
  </w:num>
  <w:num w:numId="10" w16cid:durableId="375475170">
    <w:abstractNumId w:val="18"/>
  </w:num>
  <w:num w:numId="11" w16cid:durableId="1995599765">
    <w:abstractNumId w:val="6"/>
  </w:num>
  <w:num w:numId="12" w16cid:durableId="926765155">
    <w:abstractNumId w:val="14"/>
  </w:num>
  <w:num w:numId="13" w16cid:durableId="191842145">
    <w:abstractNumId w:val="10"/>
  </w:num>
  <w:num w:numId="14" w16cid:durableId="1819613862">
    <w:abstractNumId w:val="7"/>
  </w:num>
  <w:num w:numId="15" w16cid:durableId="1308123858">
    <w:abstractNumId w:val="13"/>
  </w:num>
  <w:num w:numId="16" w16cid:durableId="1499810666">
    <w:abstractNumId w:val="4"/>
  </w:num>
  <w:num w:numId="17" w16cid:durableId="361521682">
    <w:abstractNumId w:val="1"/>
  </w:num>
  <w:num w:numId="18" w16cid:durableId="1071536552">
    <w:abstractNumId w:val="0"/>
  </w:num>
  <w:num w:numId="19" w16cid:durableId="1258909468">
    <w:abstractNumId w:val="15"/>
  </w:num>
  <w:num w:numId="20" w16cid:durableId="666980591">
    <w:abstractNumId w:val="21"/>
  </w:num>
  <w:num w:numId="21" w16cid:durableId="59524845">
    <w:abstractNumId w:val="19"/>
  </w:num>
  <w:num w:numId="22" w16cid:durableId="1829516048">
    <w:abstractNumId w:val="11"/>
  </w:num>
  <w:num w:numId="23" w16cid:durableId="1267074715">
    <w:abstractNumId w:val="2"/>
  </w:num>
  <w:num w:numId="24" w16cid:durableId="671831631">
    <w:abstractNumId w:val="9"/>
  </w:num>
  <w:num w:numId="25" w16cid:durableId="1002008022">
    <w:abstractNumId w:val="22"/>
  </w:num>
  <w:num w:numId="26" w16cid:durableId="319619263">
    <w:abstractNumId w:val="16"/>
  </w:num>
  <w:num w:numId="27" w16cid:durableId="175835848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46A7"/>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2B1C"/>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2DD6"/>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7</Pages>
  <Words>1382</Words>
  <Characters>7606</Characters>
  <Application>Microsoft Office Word</Application>
  <DocSecurity>0</DocSecurity>
  <Lines>63</Lines>
  <Paragraphs>17</Paragraphs>
  <ScaleCrop>false</ScaleCrop>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DIEGO NICOLAS CROMA RIVERA</cp:lastModifiedBy>
  <cp:revision>72</cp:revision>
  <cp:lastPrinted>2021-11-25T12:30:00Z</cp:lastPrinted>
  <dcterms:created xsi:type="dcterms:W3CDTF">2022-08-25T15:56:00Z</dcterms:created>
  <dcterms:modified xsi:type="dcterms:W3CDTF">2025-08-20T21:29:00Z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