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0"/>
      </w:pPr>
      <w:r>
        <w:rPr>
          <w:rFonts w:ascii="Arial" w:cs="Arial" w:eastAsia="Arial" w:hAnsi="Arial"/>
          <w:color w:val="64748B"/>
          <w:sz w:val="20"/>
          <w:szCs w:val="20"/>
        </w:rPr>
        <w:t xml:space="preserve">Project Alpha</w:t>
      </w:r>
    </w:p>
    <w:p>
      <w:pPr>
        <w:spacing w:after="120" w:before="0"/>
      </w:pPr>
      <w:r>
        <w:rPr>
          <w:rFonts w:ascii="Arial" w:cs="Arial" w:eastAsia="Arial" w:hAnsi="Arial"/>
          <w:b/>
          <w:bCs/>
          <w:color w:val="1E3A5F"/>
          <w:sz w:val="52"/>
          <w:szCs w:val="52"/>
        </w:rPr>
        <w:t xml:space="preserve">CHIP 台灣籌碼情報平台</w:t>
      </w:r>
    </w:p>
    <w:p>
      <w:pPr>
        <w:pBdr>
          <w:bottom w:val="single" w:color="1E3A5F" w:sz="12" w:space="8"/>
        </w:pBdr>
        <w:spacing w:after="80" w:before="0"/>
      </w:pPr>
      <w:r>
        <w:rPr>
          <w:rFonts w:ascii="Arial" w:cs="Arial" w:eastAsia="Arial" w:hAnsi="Arial"/>
          <w:color w:val="475569"/>
          <w:sz w:val="28"/>
          <w:szCs w:val="28"/>
        </w:rPr>
        <w:t xml:space="preserve">開發日誌  ·  2026-06-26</w:t>
      </w:r>
    </w:p>
    <w:p>
      <w:pPr>
        <w:spacing w:after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026"/>
      </w:tblGrid>
      <w:tr>
        <w:trPr>
          <w:tblHeader/>
        </w:trP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專案代號</w:t>
            </w:r>
          </w:p>
        </w:tc>
        <w:tc>
          <w:tcPr>
            <w:tcW w:type="dxa" w:w="70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Project Alpha  /  CHIP Platform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負責人</w:t>
            </w:r>
          </w:p>
        </w:tc>
        <w:tc>
          <w:tcPr>
            <w:tcW w:type="dxa" w:w="70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20"/>
                <w:szCs w:val="20"/>
              </w:rPr>
              <w:t xml:space="preserve">量化研究團隊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版本</w:t>
            </w:r>
          </w:p>
        </w:tc>
        <w:tc>
          <w:tcPr>
            <w:tcW w:type="dxa" w:w="70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20"/>
                <w:szCs w:val="20"/>
              </w:rPr>
              <w:t xml:space="preserve">v0.4  (Phase 1~4 完成)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後端 Port</w:t>
            </w:r>
          </w:p>
        </w:tc>
        <w:tc>
          <w:tcPr>
            <w:tcW w:type="dxa" w:w="70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20"/>
                <w:szCs w:val="20"/>
              </w:rPr>
              <w:t xml:space="preserve">8001  (FastAPI + SQLite)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整合方式</w:t>
            </w:r>
          </w:p>
        </w:tc>
        <w:tc>
          <w:tcPr>
            <w:tcW w:type="dxa" w:w="70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20"/>
                <w:szCs w:val="20"/>
              </w:rPr>
              <w:t xml:space="preserve">Phase A：獨立並行於 PYCHARTs（/chip-api proxy）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GitHub</w:t>
            </w:r>
          </w:p>
        </w:tc>
        <w:tc>
          <w:tcPr>
            <w:tcW w:type="dxa" w:w="70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20"/>
                <w:szCs w:val="20"/>
              </w:rPr>
              <w:t xml:space="preserve">chinran988/chip  (新建私有 repo，本日規劃上傳)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1"/>
        <w:pBdr>
          <w:bottom w:val="single" w:color="1E3A5F" w:sz="6" w:space="4"/>
        </w:pBdr>
        <w:spacing w:after="160" w:before="32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1.  今日開發摘要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本日完成 CHIP 台灣籌碼情報平台 Phase 1 至 Phase 4 的開發與驗收，建立從資料採集、衍生指標計算、REST API 到前端視覺化的完整流程。</w:t>
      </w:r>
    </w:p>
    <w:p>
      <w:pPr>
        <w:spacing w:after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400"/>
        <w:gridCol w:w="6026"/>
      </w:tblGrid>
      <w:tr>
        <w:trPr>
          <w:tblHeader/>
        </w:trPr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Phase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狀態</w:t>
            </w:r>
          </w:p>
        </w:tc>
        <w:tc>
          <w:tcPr>
            <w:tcW w:type="dxa" w:w="60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主要成果</w:t>
            </w:r>
          </w:p>
        </w:tc>
      </w:tr>
      <w:tr>
        <w:trPr>
          <w:tblHeader w:val="false"/>
        </w:trPr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Phase 1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20"/>
                <w:szCs w:val="20"/>
              </w:rPr>
              <w:t xml:space="preserve">✅ 完成</w:t>
            </w:r>
          </w:p>
        </w:tc>
        <w:tc>
          <w:tcPr>
            <w:tcW w:type="dxa" w:w="60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20"/>
                <w:szCs w:val="20"/>
              </w:rPr>
              <w:t xml:space="preserve">專案骨架 + 資料採集：三大法人、融資券、期貨OI、股票清單、交易日曆</w:t>
            </w:r>
          </w:p>
        </w:tc>
      </w:tr>
      <w:tr>
        <w:trPr>
          <w:tblHeader w:val="false"/>
        </w:trPr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Phase 2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20"/>
                <w:szCs w:val="20"/>
              </w:rPr>
              <w:t xml:space="preserve">✅ 完成</w:t>
            </w:r>
          </w:p>
        </w:tc>
        <w:tc>
          <w:tcPr>
            <w:tcW w:type="dxa" w:w="60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20"/>
                <w:szCs w:val="20"/>
              </w:rPr>
              <w:t xml:space="preserve">ChipProcessor 衍生指標 + REST API /chip/{id} + /futures</w:t>
            </w:r>
          </w:p>
        </w:tc>
      </w:tr>
      <w:tr>
        <w:trPr>
          <w:tblHeader w:val="false"/>
        </w:trPr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Phase 3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20"/>
                <w:szCs w:val="20"/>
              </w:rPr>
              <w:t xml:space="preserve">✅ 完成</w:t>
            </w:r>
          </w:p>
        </w:tc>
        <w:tc>
          <w:tcPr>
            <w:tcW w:type="dxa" w:w="60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20"/>
                <w:szCs w:val="20"/>
              </w:rPr>
              <w:t xml:space="preserve">ChipReporter Excel 日報（5 sheets，512KB）+ 排程 17:30</w:t>
            </w:r>
          </w:p>
        </w:tc>
      </w:tr>
      <w:tr>
        <w:trPr>
          <w:tblHeader w:val="false"/>
        </w:trPr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Phase 4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20"/>
                <w:szCs w:val="20"/>
              </w:rPr>
              <w:t xml:space="preserve">✅ 完成</w:t>
            </w:r>
          </w:p>
        </w:tc>
        <w:tc>
          <w:tcPr>
            <w:tcW w:type="dxa" w:w="60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20"/>
                <w:szCs w:val="20"/>
              </w:rPr>
              <w:t xml:space="preserve">PYCHARTs 前端整合：K線圖/籌碼分析 切換 + ECharts 三圖</w:t>
            </w:r>
          </w:p>
        </w:tc>
      </w:tr>
      <w:tr>
        <w:trPr>
          <w:tblHeader w:val="false"/>
        </w:trPr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Phase 5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20"/>
                <w:szCs w:val="20"/>
              </w:rPr>
              <w:t xml:space="preserve">⏳ 待辦</w:t>
            </w:r>
          </w:p>
        </w:tc>
        <w:tc>
          <w:tcPr>
            <w:tcW w:type="dxa" w:w="60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20"/>
                <w:szCs w:val="20"/>
              </w:rPr>
              <w:t xml:space="preserve">分點進出分析、主力買超個股篩選</w:t>
            </w:r>
          </w:p>
        </w:tc>
      </w:tr>
      <w:tr>
        <w:trPr>
          <w:tblHeader w:val="false"/>
        </w:trPr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Phase 6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20"/>
                <w:szCs w:val="20"/>
              </w:rPr>
              <w:t xml:space="preserve">⏳ 待辦</w:t>
            </w:r>
          </w:p>
        </w:tc>
        <w:tc>
          <w:tcPr>
            <w:tcW w:type="dxa" w:w="60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20"/>
                <w:szCs w:val="20"/>
              </w:rPr>
              <w:t xml:space="preserve">整合進 PYCHARTs（Phase B：API 合併；Phase C：DB 合併）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1"/>
        <w:pBdr>
          <w:bottom w:val="single" w:color="1E3A5F" w:sz="6" w:space="4"/>
        </w:pBdr>
        <w:spacing w:after="160" w:before="32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2.  Phase 1  —  資料採集層</w:t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334155"/>
          <w:sz w:val="26"/>
          <w:szCs w:val="26"/>
        </w:rPr>
        <w:t xml:space="preserve">2.1  技術架構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後端框架：FastAPI + Uvicorn（port 8001）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資料庫：SQLite（CHIP/data/chip.db）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套件管理：uv + pyproject.toml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排程器：APScheduler BackgroundScheduler</w:t>
      </w:r>
    </w:p>
    <w:p>
      <w:pPr>
        <w:spacing w:after="80"/>
      </w:pPr>
      <w: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334155"/>
          <w:sz w:val="26"/>
          <w:szCs w:val="26"/>
        </w:rPr>
        <w:t xml:space="preserve">2.2  資料來源與採集器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200"/>
        <w:gridCol w:w="4626"/>
      </w:tblGrid>
      <w:tr>
        <w:trPr>
          <w:tblHeader/>
        </w:trP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採集器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資料來源</w:t>
            </w:r>
          </w:p>
        </w:tc>
        <w:tc>
          <w:tcPr>
            <w:tcW w:type="dxa" w:w="46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說明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InstitutionalCollector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20"/>
                <w:szCs w:val="20"/>
              </w:rPr>
              <w:t xml:space="preserve">TWSE T86</w:t>
            </w:r>
          </w:p>
        </w:tc>
        <w:tc>
          <w:tcPr>
            <w:tcW w:type="dxa" w:w="46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20"/>
                <w:szCs w:val="20"/>
              </w:rPr>
              <w:t xml:space="preserve">三大法人買賣超（外資/投信/自營），1,977 股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MarginCollector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20"/>
                <w:szCs w:val="20"/>
              </w:rPr>
              <w:t xml:space="preserve">TWSE MI_MARGN</w:t>
            </w:r>
          </w:p>
        </w:tc>
        <w:tc>
          <w:tcPr>
            <w:tcW w:type="dxa" w:w="46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20"/>
                <w:szCs w:val="20"/>
              </w:rPr>
              <w:t xml:space="preserve">融資融券餘額，1,279 股（tables[1] 修正）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FuturesOICollector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20"/>
                <w:szCs w:val="20"/>
              </w:rPr>
              <w:t xml:space="preserve">TAIFEX POST API</w:t>
            </w:r>
          </w:p>
        </w:tc>
        <w:tc>
          <w:tcPr>
            <w:tcW w:type="dxa" w:w="46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20"/>
                <w:szCs w:val="20"/>
              </w:rPr>
              <w:t xml:space="preserve">TXF+MXF 未平倉量（HTML 解析+session）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StockListCollector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20"/>
                <w:szCs w:val="20"/>
              </w:rPr>
              <w:t xml:space="preserve">TWSE OpenAPI</w:t>
            </w:r>
          </w:p>
        </w:tc>
        <w:tc>
          <w:tcPr>
            <w:tcW w:type="dxa" w:w="46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20"/>
                <w:szCs w:val="20"/>
              </w:rPr>
              <w:t xml:space="preserve">1,997 支上市股票，含官方中文名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TradingCalendarCollector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20"/>
                <w:szCs w:val="20"/>
              </w:rPr>
              <w:t xml:space="preserve">TWSE 計算</w:t>
            </w:r>
          </w:p>
        </w:tc>
        <w:tc>
          <w:tcPr>
            <w:tcW w:type="dxa" w:w="46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20"/>
                <w:szCs w:val="20"/>
              </w:rPr>
              <w:t xml:space="preserve">261 個交易日（假日排除）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334155"/>
          <w:sz w:val="26"/>
          <w:szCs w:val="26"/>
        </w:rPr>
        <w:t xml:space="preserve">2.3  修正記錄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MI_MARGN 解析：正確使用 tables[1]（融資融券總表）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TAIFEX 改為 POST queryDate，HTML 解析期貨未平倉（JSON API 棄用）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lxml 加入依賴（BeautifulSoup HTML 解析需要）</w:t>
      </w:r>
    </w:p>
    <w:p>
      <w:pPr>
        <w:spacing w:after="80"/>
      </w:pPr>
      <w: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334155"/>
          <w:sz w:val="26"/>
          <w:szCs w:val="26"/>
        </w:rPr>
        <w:t xml:space="preserve">2.4  採集排程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09:00 CST — 股票清單刷新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16:35 CST — 每日主要採集（三大法人 + 融資券 + 期貨OI）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17:00 CST — 分點進出採集（前200支法人活躍股）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每月01日 08:00 — 交易日曆補充</w:t>
      </w:r>
    </w:p>
    <w:p>
      <w:pPr>
        <w:spacing w:after="80"/>
      </w:pPr>
      <w:r>
        <w:t xml:space="preserve"/>
      </w:r>
    </w:p>
    <w:p>
      <w:pPr>
        <w:pStyle w:val="Heading1"/>
        <w:pBdr>
          <w:bottom w:val="single" w:color="1E3A5F" w:sz="6" w:space="4"/>
        </w:pBdr>
        <w:spacing w:after="160" w:before="32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3.  Phase 2  —  衍生指標層</w:t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334155"/>
          <w:sz w:val="26"/>
          <w:szCs w:val="26"/>
        </w:rPr>
        <w:t xml:space="preserve">3.1  ChipProcessor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從 raw 資料計算衍生指標並寫入 processed_chip 表，每日 17:15 自動執行。</w:t>
      </w:r>
    </w:p>
    <w:p>
      <w:pPr>
        <w:pStyle w:val="Heading3"/>
        <w:spacing w:after="80" w:before="160"/>
      </w:pPr>
      <w:r>
        <w:rPr>
          <w:rFonts w:ascii="Arial" w:cs="Arial" w:eastAsia="Arial" w:hAnsi="Arial"/>
          <w:b/>
          <w:bCs/>
          <w:color w:val="475569"/>
          <w:sz w:val="22"/>
          <w:szCs w:val="22"/>
        </w:rPr>
        <w:t xml:space="preserve">計算指標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外資連買天數（foreign_streak）：連續正値天數，連賣為負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投信連買天數（trust_streak）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融資增減（margin_change）、融券增減（short_change）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資券比（margin_ratio = margin_balance / short_balance × 100）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T86 單位修正：股 → 張（÷ 1,000）</w:t>
      </w:r>
    </w:p>
    <w:p>
      <w:pPr>
        <w:spacing w:after="80"/>
      </w:pPr>
      <w: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334155"/>
          <w:sz w:val="26"/>
          <w:szCs w:val="26"/>
        </w:rPr>
        <w:t xml:space="preserve">3.2  REST API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3000"/>
        <w:gridCol w:w="5326"/>
      </w:tblGrid>
      <w:tr>
        <w:trPr>
          <w:tblHeader/>
        </w:trPr>
        <w:tc>
          <w:tcPr>
            <w:tcW w:type="dxa" w:w="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Path</w:t>
            </w:r>
          </w:p>
        </w:tc>
        <w:tc>
          <w:tcPr>
            <w:tcW w:type="dxa" w:w="53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說明</w:t>
            </w:r>
          </w:p>
        </w:tc>
      </w:tr>
      <w:tr>
        <w:trPr>
          <w:tblHeader w:val="false"/>
        </w:trPr>
        <w:tc>
          <w:tcPr>
            <w:tcW w:type="dxa" w:w="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GET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20"/>
                <w:szCs w:val="20"/>
              </w:rPr>
              <w:t xml:space="preserve">/api/v1/chip/{stock_id}?days=N</w:t>
            </w:r>
          </w:p>
        </w:tc>
        <w:tc>
          <w:tcPr>
            <w:tcW w:type="dxa" w:w="53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20"/>
                <w:szCs w:val="20"/>
              </w:rPr>
              <w:t xml:space="preserve">個股籌碼時序（processed_chip）</w:t>
            </w:r>
          </w:p>
        </w:tc>
      </w:tr>
      <w:tr>
        <w:trPr>
          <w:tblHeader w:val="false"/>
        </w:trPr>
        <w:tc>
          <w:tcPr>
            <w:tcW w:type="dxa" w:w="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GET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20"/>
                <w:szCs w:val="20"/>
              </w:rPr>
              <w:t xml:space="preserve">/api/v1/chip/{stock_id}/summary</w:t>
            </w:r>
          </w:p>
        </w:tc>
        <w:tc>
          <w:tcPr>
            <w:tcW w:type="dxa" w:w="53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20"/>
                <w:szCs w:val="20"/>
              </w:rPr>
              <w:t xml:space="preserve">最新一日籌碼摘要</w:t>
            </w:r>
          </w:p>
        </w:tc>
      </w:tr>
      <w:tr>
        <w:trPr>
          <w:tblHeader w:val="false"/>
        </w:trPr>
        <w:tc>
          <w:tcPr>
            <w:tcW w:type="dxa" w:w="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GET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20"/>
                <w:szCs w:val="20"/>
              </w:rPr>
              <w:t xml:space="preserve">/api/v1/futures?contract=TXF&amp;days=N</w:t>
            </w:r>
          </w:p>
        </w:tc>
        <w:tc>
          <w:tcPr>
            <w:tcW w:type="dxa" w:w="53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20"/>
                <w:szCs w:val="20"/>
              </w:rPr>
              <w:t xml:space="preserve">期貨未平倉時序</w:t>
            </w:r>
          </w:p>
        </w:tc>
      </w:tr>
      <w:tr>
        <w:trPr>
          <w:tblHeader w:val="false"/>
        </w:trPr>
        <w:tc>
          <w:tcPr>
            <w:tcW w:type="dxa" w:w="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GET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20"/>
                <w:szCs w:val="20"/>
              </w:rPr>
              <w:t xml:space="preserve">/api/v1/futures/latest</w:t>
            </w:r>
          </w:p>
        </w:tc>
        <w:tc>
          <w:tcPr>
            <w:tcW w:type="dxa" w:w="53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20"/>
                <w:szCs w:val="20"/>
              </w:rPr>
              <w:t xml:space="preserve">最新期貨快照</w:t>
            </w:r>
          </w:p>
        </w:tc>
      </w:tr>
      <w:tr>
        <w:trPr>
          <w:tblHeader w:val="false"/>
        </w:trPr>
        <w:tc>
          <w:tcPr>
            <w:tcW w:type="dxa" w:w="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GET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20"/>
                <w:szCs w:val="20"/>
              </w:rPr>
              <w:t xml:space="preserve">/api/v1/stocks?q=query</w:t>
            </w:r>
          </w:p>
        </w:tc>
        <w:tc>
          <w:tcPr>
            <w:tcW w:type="dxa" w:w="53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20"/>
                <w:szCs w:val="20"/>
              </w:rPr>
              <w:t xml:space="preserve">股票搜尋</w:t>
            </w:r>
          </w:p>
        </w:tc>
      </w:tr>
      <w:tr>
        <w:trPr>
          <w:tblHeader w:val="false"/>
        </w:trPr>
        <w:tc>
          <w:tcPr>
            <w:tcW w:type="dxa" w:w="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POST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20"/>
                <w:szCs w:val="20"/>
              </w:rPr>
              <w:t xml:space="preserve">/api/admin/process/chip</w:t>
            </w:r>
          </w:p>
        </w:tc>
        <w:tc>
          <w:tcPr>
            <w:tcW w:type="dxa" w:w="53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20"/>
                <w:szCs w:val="20"/>
              </w:rPr>
              <w:t xml:space="preserve">手動觸發 ChipProcessor</w:t>
            </w:r>
          </w:p>
        </w:tc>
      </w:tr>
      <w:tr>
        <w:trPr>
          <w:tblHeader w:val="false"/>
        </w:trPr>
        <w:tc>
          <w:tcPr>
            <w:tcW w:type="dxa" w:w="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POST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20"/>
                <w:szCs w:val="20"/>
              </w:rPr>
              <w:t xml:space="preserve">/api/admin/backfill/chip</w:t>
            </w:r>
          </w:p>
        </w:tc>
        <w:tc>
          <w:tcPr>
            <w:tcW w:type="dxa" w:w="53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20"/>
                <w:szCs w:val="20"/>
              </w:rPr>
              <w:t xml:space="preserve">補抓歷史（背景任務）</w:t>
            </w:r>
          </w:p>
        </w:tc>
      </w:tr>
      <w:tr>
        <w:trPr>
          <w:tblHeader w:val="false"/>
        </w:trPr>
        <w:tc>
          <w:tcPr>
            <w:tcW w:type="dxa" w:w="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GET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20"/>
                <w:szCs w:val="20"/>
              </w:rPr>
              <w:t xml:space="preserve">/api/admin/backfill/chip/status</w:t>
            </w:r>
          </w:p>
        </w:tc>
        <w:tc>
          <w:tcPr>
            <w:tcW w:type="dxa" w:w="53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20"/>
                <w:szCs w:val="20"/>
              </w:rPr>
              <w:t xml:space="preserve">補抓進度查詢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1"/>
        <w:pBdr>
          <w:bottom w:val="single" w:color="1E3A5F" w:sz="6" w:space="4"/>
        </w:pBdr>
        <w:spacing w:after="160" w:before="32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4.  Phase 3  —  Excel 日報</w:t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334155"/>
          <w:sz w:val="26"/>
          <w:szCs w:val="26"/>
        </w:rPr>
        <w:t xml:space="preserve">4.1  ChipReporter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使用 openpyxl 生成彩色 Excel，約 512 KB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每日 17:30 CST 自動生成，存於 CHIP/data/reports/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命名格式：YYYYMMDD_chip_report.xlsx</w:t>
      </w:r>
    </w:p>
    <w:p>
      <w:pPr>
        <w:spacing w:after="80"/>
      </w:pPr>
      <w: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334155"/>
          <w:sz w:val="26"/>
          <w:szCs w:val="26"/>
        </w:rPr>
        <w:t xml:space="preserve">4.2  報告結構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000"/>
        <w:gridCol w:w="5226"/>
      </w:tblGrid>
      <w:tr>
        <w:trPr>
          <w:tblHeader/>
        </w:trP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Sheet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資料筆數</w:t>
            </w:r>
          </w:p>
        </w:tc>
        <w:tc>
          <w:tcPr>
            <w:tcW w:type="dxa" w:w="52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內容</w:t>
            </w:r>
          </w:p>
        </w:tc>
      </w:tr>
      <w:tr>
        <w:trPr>
          <w:tblHeader w:val="false"/>
        </w:trP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總覽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20"/>
                <w:szCs w:val="20"/>
              </w:rPr>
              <w:t xml:space="preserve">19 rows</w:t>
            </w:r>
          </w:p>
        </w:tc>
        <w:tc>
          <w:tcPr>
            <w:tcW w:type="dxa" w:w="52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20"/>
                <w:szCs w:val="20"/>
              </w:rPr>
              <w:t xml:space="preserve">期貨快照 + 前五大外資買超/賣超</w:t>
            </w:r>
          </w:p>
        </w:tc>
      </w:tr>
      <w:tr>
        <w:trPr>
          <w:tblHeader w:val="false"/>
        </w:trP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三大法人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20"/>
                <w:szCs w:val="20"/>
              </w:rPr>
              <w:t xml:space="preserve">~13,000 rows</w:t>
            </w:r>
          </w:p>
        </w:tc>
        <w:tc>
          <w:tcPr>
            <w:tcW w:type="dxa" w:w="52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20"/>
                <w:szCs w:val="20"/>
              </w:rPr>
              <w:t xml:space="preserve">全部股票法人淨買超，依金額排序</w:t>
            </w:r>
          </w:p>
        </w:tc>
      </w:tr>
      <w:tr>
        <w:trPr>
          <w:tblHeader w:val="false"/>
        </w:trP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外資連買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20"/>
                <w:szCs w:val="20"/>
              </w:rPr>
              <w:t xml:space="preserve">~1,200 rows</w:t>
            </w:r>
          </w:p>
        </w:tc>
        <w:tc>
          <w:tcPr>
            <w:tcW w:type="dxa" w:w="52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20"/>
                <w:szCs w:val="20"/>
              </w:rPr>
              <w:t xml:space="preserve">foreign_streak ≠ 0，連買/連賣高亮</w:t>
            </w:r>
          </w:p>
        </w:tc>
      </w:tr>
      <w:tr>
        <w:trPr>
          <w:tblHeader w:val="false"/>
        </w:trP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融資融券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20"/>
                <w:szCs w:val="20"/>
              </w:rPr>
              <w:t xml:space="preserve">~1,100 rows</w:t>
            </w:r>
          </w:p>
        </w:tc>
        <w:tc>
          <w:tcPr>
            <w:tcW w:type="dxa" w:w="52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20"/>
                <w:szCs w:val="20"/>
              </w:rPr>
              <w:t xml:space="preserve">有餘額股票，依融資增減排序</w:t>
            </w:r>
          </w:p>
        </w:tc>
      </w:tr>
      <w:tr>
        <w:trPr>
          <w:tblHeader w:val="false"/>
        </w:trP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期貨走勢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20"/>
                <w:szCs w:val="20"/>
              </w:rPr>
              <w:t xml:space="preserve">2 rows</w:t>
            </w:r>
          </w:p>
        </w:tc>
        <w:tc>
          <w:tcPr>
            <w:tcW w:type="dxa" w:w="52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20"/>
                <w:szCs w:val="20"/>
              </w:rPr>
              <w:t xml:space="preserve">TXF + MXF 运60日外資多空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334155"/>
          <w:sz w:val="26"/>
          <w:szCs w:val="26"/>
        </w:rPr>
        <w:t xml:space="preserve">4.3  色彩規則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標題列：深藍（#1E3A5F）白字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正値（買超/增加）：淡藍（#DBEAFE）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負値（賣超/減少）：淡紅（#FEE2E2）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連買 ≥ 3 天：深綠（#DCFCE7）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連賣 ≥ 3 天：深橘（#FEF3C7）</w:t>
      </w:r>
    </w:p>
    <w:p>
      <w:pPr>
        <w:spacing w:after="80"/>
      </w:pPr>
      <w:r>
        <w:t xml:space="preserve"/>
      </w:r>
    </w:p>
    <w:p>
      <w:pPr>
        <w:pStyle w:val="Heading1"/>
        <w:pBdr>
          <w:bottom w:val="single" w:color="1E3A5F" w:sz="6" w:space="4"/>
        </w:pBdr>
        <w:spacing w:after="160" w:before="32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5.  Phase 4  —  前端視覺化整合</w:t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334155"/>
          <w:sz w:val="26"/>
          <w:szCs w:val="26"/>
        </w:rPr>
        <w:t xml:space="preserve">5.1  整合方式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Phase A 整合策略：CHIP 後端獨立運行（port 8001），PYCHARTs Vite dev server 透過 /chip-api proxy 轉送請求，不修改主專案 API 路由。</w:t>
      </w:r>
    </w:p>
    <w:p>
      <w:pPr>
        <w:spacing w:after="80"/>
      </w:pPr>
      <w: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334155"/>
          <w:sz w:val="26"/>
          <w:szCs w:val="26"/>
        </w:rPr>
        <w:t xml:space="preserve">5.2  Vite Proxy 設定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路徑：/chip-api/* → http://localhost:8001/*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設定於 pycharts/frontend/vite.config.ts</w:t>
      </w:r>
    </w:p>
    <w:p>
      <w:pPr>
        <w:spacing w:after="80"/>
      </w:pPr>
      <w: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334155"/>
          <w:sz w:val="26"/>
          <w:szCs w:val="26"/>
        </w:rPr>
        <w:t xml:space="preserve">5.3  前端新增元件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ChipPage.tsx：籌碼分析主頁，三個 ECharts 面板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color w:val="475569"/>
          <w:sz w:val="20"/>
          <w:szCs w:val="20"/>
        </w:rPr>
        <w:t xml:space="preserve">三大法人淨買賣：Stacked Bar（外資/投信/自營各色）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color w:val="475569"/>
          <w:sz w:val="20"/>
          <w:szCs w:val="20"/>
        </w:rPr>
        <w:t xml:space="preserve">融資券餘額：雙軸 Line + Area（融資/融券/資券比）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color w:val="475569"/>
          <w:sz w:val="20"/>
          <w:szCs w:val="20"/>
        </w:rPr>
        <w:t xml:space="preserve">期貨未平倉：Bar + Line（外資淨多/多倉/空倉）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Toolbar.tsx：新增 K線圖 / 籌碼分析 切換按鈕（PageMode）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BackfillPanel：日期範圍選擇 + Admin API 補抓 + 進度條（2秒輪詢）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資料範圍標籤：顯示「資料: DATE ~ DATE (N天)」，資料稀少顯示 ⚠</w:t>
      </w:r>
    </w:p>
    <w:p>
      <w:pPr>
        <w:spacing w:after="80"/>
      </w:pPr>
      <w: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334155"/>
          <w:sz w:val="26"/>
          <w:szCs w:val="26"/>
        </w:rPr>
        <w:t xml:space="preserve">5.4  Build 驗收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TypeScript 0 errors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修正 start_backfill、history_range 型別定義（舊錯誤）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Vite proxy 驗證：/chip-api/api/v1/chip/2330 → 正確回傳</w:t>
      </w:r>
    </w:p>
    <w:p>
      <w:pPr>
        <w:spacing w:after="80"/>
      </w:pPr>
      <w:r>
        <w:t xml:space="preserve"/>
      </w:r>
    </w:p>
    <w:p>
      <w:pPr>
        <w:pStyle w:val="Heading1"/>
        <w:pBdr>
          <w:bottom w:val="single" w:color="1E3A5F" w:sz="6" w:space="4"/>
        </w:pBdr>
        <w:spacing w:after="160" w:before="32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6.  啟動 / 停止工具</w:t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334155"/>
          <w:sz w:val="26"/>
          <w:szCs w:val="26"/>
        </w:rPr>
        <w:t xml:space="preserve">CHIP\\\u555F動.bat + launcher.ps1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PowerShell 腳本避免中文 encoding 問題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自動 uv sync（CHIP 後端依賴）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開啟 CHIP Backend :8001 supervisor 視窗（崩潰自動重啟，exit 0 不重啟）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不啟動主專案（ports 8000/5173 不受影響）</w:t>
      </w:r>
    </w:p>
    <w:p>
      <w:pPr>
        <w:spacing w:after="80"/>
      </w:pPr>
      <w: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334155"/>
          <w:sz w:val="26"/>
          <w:szCs w:val="26"/>
        </w:rPr>
        <w:t xml:space="preserve">CHIP\\\u7D50束.bat + stopper.ps1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Step 1：按視窗標題殺 CHIP supervisor（防止重啟循環）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Step 2：按 port 8001 殺 LISTEN 程序（taskkill /T 殺整棵 process tree）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Step 3：按命令列揩描殺 CHIP\\backend 路徑的孤立 python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不碰 ports 8000/5173，主專案 supervisor 不受影響</w:t>
      </w:r>
    </w:p>
    <w:p>
      <w:pPr>
        <w:spacing w:after="80"/>
      </w:pPr>
      <w:r>
        <w:t xml:space="preserve"/>
      </w:r>
    </w:p>
    <w:p>
      <w:pPr>
        <w:pStyle w:val="Heading1"/>
        <w:pBdr>
          <w:bottom w:val="single" w:color="1E3A5F" w:sz="6" w:space="4"/>
        </w:pBdr>
        <w:spacing w:after="160" w:before="32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7.  GitHub 上傳規劃</w:t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334155"/>
          <w:sz w:val="26"/>
          <w:szCs w:val="26"/>
        </w:rPr>
        <w:t xml:space="preserve">7.1  Repository 設定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Repository 名稱：chip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帳號：chinran988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可見度：Private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SSH remote：git@github-chinran988:chinran988/chip.git</w:t>
      </w:r>
    </w:p>
    <w:p>
      <w:pPr>
        <w:spacing w:after="80"/>
      </w:pPr>
      <w: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334155"/>
          <w:sz w:val="26"/>
          <w:szCs w:val="26"/>
        </w:rPr>
        <w:t xml:space="preserve">7.2  追蹤範圍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CHIP/backend/app/  — FastAPI 應用程式碼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CHIP/backend/pyproject.toml + uv.lock  — 依賴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CHIP/*.bat、CHIP/*.ps1  — 啟動/停止腳本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CHIP/架構全景圖_v1.svg  — 架構圖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CHIP/*.docx  — 規劃書、開發日誌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README.md</w:t>
      </w:r>
    </w:p>
    <w:p>
      <w:pPr>
        <w:spacing w:after="80"/>
      </w:pPr>
      <w: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334155"/>
          <w:sz w:val="26"/>
          <w:szCs w:val="26"/>
        </w:rPr>
        <w:t xml:space="preserve">7.3  排除項目（.gitignore）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6826"/>
      </w:tblGrid>
      <w:tr>
        <w:trPr>
          <w:tblHeader/>
        </w:trP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排除路徑</w:t>
            </w:r>
          </w:p>
        </w:tc>
        <w:tc>
          <w:tcPr>
            <w:tcW w:type="dxa" w:w="68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原因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data/</w:t>
            </w:r>
          </w:p>
        </w:tc>
        <w:tc>
          <w:tcPr>
            <w:tcW w:type="dxa" w:w="68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20"/>
                <w:szCs w:val="20"/>
              </w:rPr>
              <w:t xml:space="preserve">chip.db、reports/*.xlsx — 本機資料，不上傳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logs/</w:t>
            </w:r>
          </w:p>
        </w:tc>
        <w:tc>
          <w:tcPr>
            <w:tcW w:type="dxa" w:w="68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20"/>
                <w:szCs w:val="20"/>
              </w:rPr>
              <w:t xml:space="preserve">執行 log 檔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backend/.venv/</w:t>
            </w:r>
          </w:p>
        </w:tc>
        <w:tc>
          <w:tcPr>
            <w:tcW w:type="dxa" w:w="68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20"/>
                <w:szCs w:val="20"/>
              </w:rPr>
              <w:t xml:space="preserve">Python 虛擬環境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.env</w:t>
            </w:r>
          </w:p>
        </w:tc>
        <w:tc>
          <w:tcPr>
            <w:tcW w:type="dxa" w:w="68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20"/>
                <w:szCs w:val="20"/>
              </w:rPr>
              <w:t xml:space="preserve">API Key、密鑰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__pycache__/</w:t>
            </w:r>
          </w:p>
        </w:tc>
        <w:tc>
          <w:tcPr>
            <w:tcW w:type="dxa" w:w="68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20"/>
                <w:szCs w:val="20"/>
              </w:rPr>
              <w:t xml:space="preserve">Python 快取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*.pyc</w:t>
            </w:r>
          </w:p>
        </w:tc>
        <w:tc>
          <w:tcPr>
            <w:tcW w:type="dxa" w:w="68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20"/>
                <w:szCs w:val="20"/>
              </w:rPr>
              <w:t xml:space="preserve">編譯檔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334155"/>
          <w:sz w:val="26"/>
          <w:szCs w:val="26"/>
        </w:rPr>
        <w:t xml:space="preserve">7.4  上傳步驟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cd "C:\\Users\\Inspiration\\Documents\\Project Quant\\CHIP"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git init &amp;&amp; git branch -M main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git remote add origin git@github-chinran988:chinran988/chip.git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建立 .gitignore 和 README.md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git add -A &amp;&amp; git commit -m "feat: CHIP Platform v0.4 (Phase 1-4)"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git push -u origin main</w:t>
      </w:r>
    </w:p>
    <w:p>
      <w:pPr>
        <w:spacing w:after="80"/>
      </w:pPr>
      <w:r>
        <w:t xml:space="preserve"/>
      </w:r>
    </w:p>
    <w:p>
      <w:pPr>
        <w:pStyle w:val="Heading1"/>
        <w:pBdr>
          <w:bottom w:val="single" w:color="1E3A5F" w:sz="6" w:space="4"/>
        </w:pBdr>
        <w:spacing w:after="160" w:before="32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8.  資料補抓現況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200"/>
        <w:gridCol w:w="4426"/>
      </w:tblGrid>
      <w:tr>
        <w:trPr>
          <w:tblHeader/>
        </w:trP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資料類型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涵蓋日期</w:t>
            </w:r>
          </w:p>
        </w:tc>
        <w:tc>
          <w:tcPr>
            <w:tcW w:type="dxa" w:w="44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備註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三大法人（T86）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20"/>
                <w:szCs w:val="20"/>
              </w:rPr>
              <w:t xml:space="preserve">2025-12~2026-06</w:t>
            </w:r>
          </w:p>
        </w:tc>
        <w:tc>
          <w:tcPr>
            <w:tcW w:type="dxa" w:w="44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20"/>
                <w:szCs w:val="20"/>
              </w:rPr>
              <w:t xml:space="preserve">261 個交易日（全年）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融資融券（MI_MARGN）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20"/>
                <w:szCs w:val="20"/>
              </w:rPr>
              <w:t xml:space="preserve">2025-12~2026-06</w:t>
            </w:r>
          </w:p>
        </w:tc>
        <w:tc>
          <w:tcPr>
            <w:tcW w:type="dxa" w:w="44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20"/>
                <w:szCs w:val="20"/>
              </w:rPr>
              <w:t xml:space="preserve">同上，自動一併補抓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期貨OI（TXF/MXF）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20"/>
                <w:szCs w:val="20"/>
              </w:rPr>
              <w:t xml:space="preserve">2025-12~2026-06</w:t>
            </w:r>
          </w:p>
        </w:tc>
        <w:tc>
          <w:tcPr>
            <w:tcW w:type="dxa" w:w="44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20"/>
                <w:szCs w:val="20"/>
              </w:rPr>
              <w:t xml:space="preserve">同上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processed_chip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20"/>
                <w:szCs w:val="20"/>
              </w:rPr>
              <w:t xml:space="preserve">同 raw 範圍</w:t>
            </w:r>
          </w:p>
        </w:tc>
        <w:tc>
          <w:tcPr>
            <w:tcW w:type="dxa" w:w="44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20"/>
                <w:szCs w:val="20"/>
              </w:rPr>
              <w:t xml:space="preserve">ChipProcessor 隨補抓自動計算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1"/>
        <w:pBdr>
          <w:bottom w:val="single" w:color="1E3A5F" w:sz="6" w:space="4"/>
        </w:pBdr>
        <w:spacing w:after="160" w:before="32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9.  下一步規劃</w:t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334155"/>
          <w:sz w:val="26"/>
          <w:szCs w:val="26"/>
        </w:rPr>
        <w:t xml:space="preserve">Phase 5  —  分點進出分析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完成 BrokerChipsCollector 並驗收資料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API：/api/v1/chip/{id}/brokers — 分點進出時序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前端：新增分點圖表 panel</w:t>
      </w:r>
    </w:p>
    <w:p>
      <w:pPr>
        <w:spacing w:after="80"/>
      </w:pPr>
      <w: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334155"/>
          <w:sz w:val="26"/>
          <w:szCs w:val="26"/>
        </w:rPr>
        <w:t xml:space="preserve">Phase 6  —  整合進 PYCHARTs（A→B→C）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Phase B：CHIP API 路由移入 PYCHARTs FastAPI（port 8000）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Phase C：chip.db 合併或連接到主 DB，統一資料層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移除 /chip-api proxy，改為直接呼叫</w:t>
      </w:r>
    </w:p>
    <w:sectPr>
      <w:headerReference w:type="default" r:id="rId7"/>
      <w:footerReference w:type="default" r:id="rId8"/>
      <w:pgSz w:w="11906" w:h="16838" w:orient="portrait"/>
      <w:pgMar w:top="1200" w:right="1200" w:bottom="120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E2E8F0" w:sz="4" w:space="4"/>
      </w:pBdr>
      <w:tabs>
        <w:tab w:val="right" w:pos="9026"/>
      </w:tabs>
    </w:pPr>
    <w:r>
      <w:rPr>
        <w:rFonts w:ascii="Arial" w:cs="Arial" w:eastAsia="Arial" w:hAnsi="Arial"/>
        <w:color w:val="CBD5E1"/>
        <w:sz w:val="16"/>
        <w:szCs w:val="16"/>
      </w:rPr>
      <w:t xml:space="preserve">CONFIDENTIAL  |  Project Quant</w:t>
    </w:r>
    <w:r>
      <w:rPr>
        <w:rFonts w:ascii="Arial" w:cs="Arial" w:eastAsia="Arial" w:hAnsi="Arial"/>
        <w:color w:val="CBD5E1"/>
        <w:sz w:val="16"/>
        <w:szCs w:val="16"/>
      </w:rPr>
      <w:t xml:space="preserve">	第 </w:t>
    </w:r>
    <w:r>
      <w:rPr>
        <w:rFonts w:ascii="Arial" w:cs="Arial" w:eastAsia="Arial" w:hAnsi="Arial"/>
        <w:color w:val="CBD5E1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CBD5E1"/>
        <w:sz w:val="16"/>
        <w:szCs w:val="16"/>
      </w:rPr>
      <w:t xml:space="preserve"> 頁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E2E8F0" w:sz="4" w:space="4"/>
      </w:pBdr>
      <w:tabs>
        <w:tab w:val="right" w:pos="9026"/>
      </w:tabs>
    </w:pPr>
    <w:r>
      <w:rPr>
        <w:rFonts w:ascii="Arial" w:cs="Arial" w:eastAsia="Arial" w:hAnsi="Arial"/>
        <w:color w:val="94A3B8"/>
        <w:sz w:val="18"/>
        <w:szCs w:val="18"/>
      </w:rPr>
      <w:t xml:space="preserve">Project Alpha  |  CHIP 台灣籌碼情報平台  |  開發日誌</w:t>
    </w:r>
    <w:r>
      <w:rPr>
        <w:rFonts w:ascii="Arial" w:cs="Arial" w:eastAsia="Arial" w:hAnsi="Arial"/>
        <w:color w:val="94A3B8"/>
        <w:sz w:val="18"/>
        <w:szCs w:val="18"/>
      </w:rPr>
      <w:t xml:space="preserve">	2026-06-26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80" w:hanging="24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◦"/>
      <w:lvlJc w:val="left"/>
      <w:pPr>
        <w:ind w:left="720" w:hanging="24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8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4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20"/>
      <w:outlineLvl w:val="0"/>
    </w:pPr>
    <w:rPr>
      <w:rFonts w:ascii="Arial" w:cs="Arial" w:eastAsia="Arial" w:hAnsi="Arial"/>
      <w:b/>
      <w:bCs/>
      <w:color w:val="1E3A5F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00" w:before="240"/>
      <w:outlineLvl w:val="1"/>
    </w:pPr>
    <w:rPr>
      <w:rFonts w:ascii="Arial" w:cs="Arial" w:eastAsia="Arial" w:hAnsi="Arial"/>
      <w:b/>
      <w:bCs/>
      <w:color w:val="334155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80" w:before="160"/>
      <w:outlineLvl w:val="2"/>
    </w:pPr>
    <w:rPr>
      <w:rFonts w:ascii="Arial" w:cs="Arial" w:eastAsia="Arial" w:hAnsi="Arial"/>
      <w:b/>
      <w:bCs/>
      <w:color w:val="475569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2026-06-26T08:58:32.175Z</dcterms:created>
  <dcterms:modified xsi:type="dcterms:W3CDTF">2026-06-26T08:58:32.176Z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