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3B8B" w14:textId="77777777" w:rsidR="00787E35" w:rsidRDefault="00787E35">
      <w:pPr>
        <w:spacing w:after="1400"/>
      </w:pPr>
    </w:p>
    <w:p w14:paraId="1E85F7B9" w14:textId="144EAEDA" w:rsidR="00787E35" w:rsidRDefault="00000000">
      <w:pPr>
        <w:spacing w:after="60"/>
        <w:jc w:val="center"/>
      </w:pPr>
      <w:r>
        <w:rPr>
          <w:rFonts w:ascii="Arial" w:eastAsia="Arial" w:hAnsi="Arial" w:cs="Arial"/>
          <w:b/>
          <w:bCs/>
          <w:color w:val="1F3864"/>
          <w:sz w:val="26"/>
          <w:szCs w:val="26"/>
        </w:rPr>
        <w:t xml:space="preserve">DAT617 </w:t>
      </w:r>
      <w:r w:rsidR="00A93C66">
        <w:rPr>
          <w:rFonts w:ascii="Arial" w:eastAsia="Arial" w:hAnsi="Arial" w:cs="Arial"/>
          <w:b/>
          <w:bCs/>
          <w:color w:val="1F3864"/>
          <w:sz w:val="26"/>
          <w:szCs w:val="26"/>
        </w:rPr>
        <w:t>-</w:t>
      </w:r>
      <w:r>
        <w:rPr>
          <w:rFonts w:ascii="Arial" w:eastAsia="Arial" w:hAnsi="Arial" w:cs="Arial"/>
          <w:b/>
          <w:bCs/>
          <w:color w:val="1F3864"/>
          <w:sz w:val="26"/>
          <w:szCs w:val="26"/>
        </w:rPr>
        <w:t xml:space="preserve"> Data Science for Business</w:t>
      </w:r>
    </w:p>
    <w:p w14:paraId="147D3ED7" w14:textId="77777777" w:rsidR="00787E35" w:rsidRDefault="00000000">
      <w:pPr>
        <w:pBdr>
          <w:bottom w:val="single" w:sz="8" w:space="4" w:color="C8922A"/>
        </w:pBdr>
        <w:spacing w:after="100"/>
        <w:jc w:val="center"/>
      </w:pPr>
      <w:r>
        <w:rPr>
          <w:rFonts w:ascii="Arial" w:eastAsia="Arial" w:hAnsi="Arial" w:cs="Arial"/>
          <w:b/>
          <w:bCs/>
          <w:color w:val="2E4057"/>
          <w:sz w:val="38"/>
          <w:szCs w:val="38"/>
        </w:rPr>
        <w:t>Final Project Report</w:t>
      </w:r>
    </w:p>
    <w:p w14:paraId="23E0854A" w14:textId="77777777" w:rsidR="00787E35" w:rsidRDefault="00787E35">
      <w:pPr>
        <w:spacing w:after="200"/>
      </w:pPr>
    </w:p>
    <w:p w14:paraId="776630C9" w14:textId="77777777" w:rsidR="00787E35" w:rsidRDefault="00000000">
      <w:pPr>
        <w:spacing w:after="60"/>
        <w:jc w:val="center"/>
      </w:pPr>
      <w:r>
        <w:rPr>
          <w:rFonts w:cs="Georgia"/>
          <w:i/>
          <w:iCs/>
          <w:color w:val="2E4057"/>
          <w:sz w:val="26"/>
          <w:szCs w:val="26"/>
        </w:rPr>
        <w:t>Weather, Delays, and Flight Performance at NYC Airports</w:t>
      </w:r>
    </w:p>
    <w:p w14:paraId="266A851C" w14:textId="77777777" w:rsidR="00787E35" w:rsidRDefault="00787E35">
      <w:pPr>
        <w:spacing w:after="600"/>
      </w:pPr>
    </w:p>
    <w:p w14:paraId="5F8140D6" w14:textId="77777777" w:rsidR="00787E35" w:rsidRDefault="00000000">
      <w:pPr>
        <w:spacing w:after="60"/>
        <w:jc w:val="center"/>
      </w:pPr>
      <w:r>
        <w:rPr>
          <w:rFonts w:ascii="Arial" w:eastAsia="Arial" w:hAnsi="Arial" w:cs="Arial"/>
          <w:b/>
          <w:bCs/>
          <w:color w:val="1F3864"/>
          <w:sz w:val="24"/>
          <w:szCs w:val="24"/>
        </w:rPr>
        <w:t>Team 7</w:t>
      </w:r>
    </w:p>
    <w:p w14:paraId="7CA13E63" w14:textId="77777777" w:rsidR="00787E35" w:rsidRDefault="00000000">
      <w:pPr>
        <w:spacing w:after="40"/>
        <w:jc w:val="center"/>
      </w:pPr>
      <w:r>
        <w:rPr>
          <w:rFonts w:cs="Georgia"/>
          <w:color w:val="2E4057"/>
        </w:rPr>
        <w:t xml:space="preserve">Chintan Samirbhai </w:t>
      </w:r>
      <w:proofErr w:type="gramStart"/>
      <w:r>
        <w:rPr>
          <w:rFonts w:cs="Georgia"/>
          <w:color w:val="2E4057"/>
        </w:rPr>
        <w:t>Jikkar  ·</w:t>
      </w:r>
      <w:proofErr w:type="gramEnd"/>
      <w:r>
        <w:rPr>
          <w:rFonts w:cs="Georgia"/>
          <w:color w:val="2E4057"/>
        </w:rPr>
        <w:t xml:space="preserve">  Shivali Ravindra </w:t>
      </w:r>
      <w:proofErr w:type="gramStart"/>
      <w:r>
        <w:rPr>
          <w:rFonts w:cs="Georgia"/>
          <w:color w:val="2E4057"/>
        </w:rPr>
        <w:t>Shetty  ·</w:t>
      </w:r>
      <w:proofErr w:type="gramEnd"/>
      <w:r>
        <w:rPr>
          <w:rFonts w:cs="Georgia"/>
          <w:color w:val="2E4057"/>
        </w:rPr>
        <w:t xml:space="preserve">  Tanisha Chetan </w:t>
      </w:r>
      <w:proofErr w:type="spellStart"/>
      <w:r>
        <w:rPr>
          <w:rFonts w:cs="Georgia"/>
          <w:color w:val="2E4057"/>
        </w:rPr>
        <w:t>Khimavat</w:t>
      </w:r>
      <w:proofErr w:type="spellEnd"/>
    </w:p>
    <w:p w14:paraId="50E34457" w14:textId="77777777" w:rsidR="00787E35" w:rsidRDefault="00787E35">
      <w:pPr>
        <w:spacing w:after="160"/>
      </w:pPr>
    </w:p>
    <w:p w14:paraId="39C1987F" w14:textId="77777777" w:rsidR="00787E35" w:rsidRDefault="00000000">
      <w:pPr>
        <w:spacing w:after="40"/>
        <w:jc w:val="center"/>
      </w:pPr>
      <w:r>
        <w:rPr>
          <w:rFonts w:cs="Georgia"/>
          <w:i/>
          <w:iCs/>
          <w:color w:val="2E4057"/>
          <w:sz w:val="20"/>
          <w:szCs w:val="20"/>
        </w:rPr>
        <w:t>Course: DAT617 | Professor: Vishal Lala | Spring 2026</w:t>
      </w:r>
    </w:p>
    <w:p w14:paraId="53040046" w14:textId="77777777" w:rsidR="00787E35" w:rsidRDefault="00000000">
      <w:pPr>
        <w:jc w:val="center"/>
      </w:pPr>
      <w:r>
        <w:rPr>
          <w:rFonts w:cs="Georgia"/>
          <w:i/>
          <w:iCs/>
          <w:color w:val="2E4057"/>
          <w:sz w:val="20"/>
          <w:szCs w:val="20"/>
        </w:rPr>
        <w:t>Evaluation Period: January 2021 – December 2025</w:t>
      </w:r>
    </w:p>
    <w:p w14:paraId="5B8B69D9" w14:textId="77777777" w:rsidR="00787E35" w:rsidRDefault="00787E35">
      <w:pPr>
        <w:sectPr w:rsidR="00787E35">
          <w:pgSz w:w="12240" w:h="15840"/>
          <w:pgMar w:top="1440" w:right="1440" w:bottom="1440" w:left="1440" w:header="708" w:footer="708" w:gutter="0"/>
          <w:cols w:space="720"/>
          <w:docGrid w:linePitch="360"/>
        </w:sectPr>
      </w:pPr>
    </w:p>
    <w:p w14:paraId="0E68A3AB" w14:textId="77777777" w:rsidR="00787E35" w:rsidRDefault="00000000">
      <w:pPr>
        <w:pStyle w:val="Heading1"/>
        <w:spacing w:before="240"/>
      </w:pPr>
      <w:r>
        <w:lastRenderedPageBreak/>
        <w:t>Abstract</w:t>
      </w:r>
    </w:p>
    <w:p w14:paraId="5F5B97EF" w14:textId="3608EA06" w:rsidR="00787E35" w:rsidRDefault="00000000">
      <w:pPr>
        <w:spacing w:after="120" w:line="264" w:lineRule="auto"/>
        <w:jc w:val="both"/>
      </w:pPr>
      <w:r>
        <w:rPr>
          <w:rFonts w:cs="Georgia"/>
          <w:color w:val="000000"/>
        </w:rPr>
        <w:t xml:space="preserve">This study examines the relationship between hourly meteorological conditions and departure delay outcomes at JFK, LaGuardia, and Newark Liberty International airports across 1,906,959 scheduled departures from January 2021 through December 2025. Four formal hypotheses are tested </w:t>
      </w:r>
      <w:r w:rsidR="00A93C66">
        <w:rPr>
          <w:rFonts w:cs="Georgia"/>
          <w:color w:val="000000"/>
        </w:rPr>
        <w:t>-</w:t>
      </w:r>
      <w:r>
        <w:rPr>
          <w:rFonts w:cs="Georgia"/>
          <w:color w:val="000000"/>
        </w:rPr>
        <w:t xml:space="preserve"> concerning weather severity effects, airline business model heterogeneity, time-of-day schedule compounding, and airport structural performance differentials </w:t>
      </w:r>
      <w:r w:rsidR="00A93C66">
        <w:rPr>
          <w:rFonts w:cs="Georgia"/>
          <w:color w:val="000000"/>
        </w:rPr>
        <w:t>-</w:t>
      </w:r>
      <w:r>
        <w:rPr>
          <w:rFonts w:cs="Georgia"/>
          <w:color w:val="000000"/>
        </w:rPr>
        <w:t xml:space="preserve"> using Ordinary Least Squares regression, Logistic Regression, Random Forest feature importance analysis, K-Means clustering, and time series decomposition. Key findings demonstrate that while adverse weather produces a statistically significant 1.9x mean delay uplift, time-of-day compounding generates a 27-minute penalty for late-evening departures relative to equivalent red-eye flights </w:t>
      </w:r>
      <w:r w:rsidR="00A93C66">
        <w:rPr>
          <w:rFonts w:cs="Georgia"/>
          <w:color w:val="000000"/>
        </w:rPr>
        <w:t>-</w:t>
      </w:r>
      <w:r>
        <w:rPr>
          <w:rFonts w:cs="Georgia"/>
          <w:color w:val="000000"/>
        </w:rPr>
        <w:t xml:space="preserve"> independent of weather. EWR is identified as the primary structural underperformer despite carrying the lowest adverse weather exposure of the three airports. Quantified recommendations are developed for airline schedulers, airport authorities, and corporate travel managers.</w:t>
      </w:r>
    </w:p>
    <w:p w14:paraId="57E08A3C" w14:textId="77777777" w:rsidR="00787E35" w:rsidRDefault="00787E35">
      <w:pPr>
        <w:spacing w:after="60"/>
      </w:pPr>
    </w:p>
    <w:p w14:paraId="5C23F48A" w14:textId="77777777" w:rsidR="00787E35" w:rsidRDefault="00000000">
      <w:pPr>
        <w:pStyle w:val="Heading1"/>
        <w:spacing w:before="240"/>
      </w:pPr>
      <w:r>
        <w:t>1. Research Problem and Hypotheses</w:t>
      </w:r>
    </w:p>
    <w:p w14:paraId="6A693CAE" w14:textId="77777777" w:rsidR="00787E35" w:rsidRDefault="00000000">
      <w:pPr>
        <w:pStyle w:val="Heading2"/>
        <w:spacing w:before="180"/>
      </w:pPr>
      <w:r>
        <w:t>1.1 Business Context and Research Question</w:t>
      </w:r>
    </w:p>
    <w:p w14:paraId="6249C44A" w14:textId="768013CC" w:rsidR="00787E35" w:rsidRDefault="00000000">
      <w:pPr>
        <w:spacing w:after="120" w:line="264" w:lineRule="auto"/>
        <w:jc w:val="both"/>
      </w:pPr>
      <w:r>
        <w:rPr>
          <w:rFonts w:cs="Georgia"/>
          <w:color w:val="000000"/>
        </w:rPr>
        <w:t xml:space="preserve">Flight delays impose cascading economic costs across the commercial aviation system. The Bureau of Transportation Statistics (BTS) estimates weather as a contributing factor in 30–40% of reported delay minutes nationally; however, this figure substantially understates weather's true footprint, as meteorological events interact with airport infrastructure constraints, schedule density, and airline operational architecture in ways that aggregate statistics obscure. This study exploits the natural experiment provided by the NYC metropolitan airspace: JFK, LGA, and EWR operate within the same regional weather system yet differ substantially in runway configuration, airspace complexity, and carrier mix. The central research question is: how do specific hourly meteorological conditions </w:t>
      </w:r>
      <w:r w:rsidR="00A93C66">
        <w:rPr>
          <w:rFonts w:cs="Georgia"/>
          <w:color w:val="000000"/>
        </w:rPr>
        <w:t>-</w:t>
      </w:r>
      <w:r>
        <w:rPr>
          <w:rFonts w:cs="Georgia"/>
          <w:color w:val="000000"/>
        </w:rPr>
        <w:t xml:space="preserve"> precipitation, visibility, wind speed, and snowfall </w:t>
      </w:r>
      <w:r w:rsidR="00A93C66">
        <w:rPr>
          <w:rFonts w:cs="Georgia"/>
          <w:color w:val="000000"/>
        </w:rPr>
        <w:t>-</w:t>
      </w:r>
      <w:r>
        <w:rPr>
          <w:rFonts w:cs="Georgia"/>
          <w:color w:val="000000"/>
        </w:rPr>
        <w:t xml:space="preserve"> shape departure delays and cancellation probabilities at the three NYC airports, and do different airline business models absorb equivalent weather disruptions with equal resilience?</w:t>
      </w:r>
    </w:p>
    <w:p w14:paraId="42FC25FF" w14:textId="77777777" w:rsidR="00787E35" w:rsidRDefault="00787E35">
      <w:pPr>
        <w:spacing w:after="80"/>
      </w:pPr>
    </w:p>
    <w:p w14:paraId="5E4A7CAE" w14:textId="77777777" w:rsidR="00787E35" w:rsidRDefault="00000000">
      <w:pPr>
        <w:pStyle w:val="Heading2"/>
        <w:spacing w:before="180"/>
      </w:pPr>
      <w:r>
        <w:t>1.2 Formal Hypotheses</w:t>
      </w:r>
    </w:p>
    <w:p w14:paraId="6A9DFF44" w14:textId="77777777" w:rsidR="00787E35" w:rsidRDefault="00000000">
      <w:pPr>
        <w:pStyle w:val="ListParagraph"/>
        <w:numPr>
          <w:ilvl w:val="0"/>
          <w:numId w:val="2"/>
        </w:numPr>
        <w:spacing w:line="264" w:lineRule="auto"/>
      </w:pPr>
      <w:r>
        <w:rPr>
          <w:b/>
          <w:bCs/>
          <w:color w:val="000000"/>
        </w:rPr>
        <w:t xml:space="preserve">H1 (Weather Effect): </w:t>
      </w:r>
      <w:r>
        <w:rPr>
          <w:color w:val="000000"/>
        </w:rPr>
        <w:t>Adverse weather significantly increases mean departure delays and cancellation probabilities, with effects scaling non-linearly with severity.</w:t>
      </w:r>
    </w:p>
    <w:p w14:paraId="4A56CEA9" w14:textId="77777777" w:rsidR="00787E35" w:rsidRDefault="00000000">
      <w:pPr>
        <w:pStyle w:val="ListParagraph"/>
        <w:numPr>
          <w:ilvl w:val="0"/>
          <w:numId w:val="2"/>
        </w:numPr>
        <w:spacing w:line="264" w:lineRule="auto"/>
      </w:pPr>
      <w:r>
        <w:rPr>
          <w:b/>
          <w:bCs/>
          <w:color w:val="000000"/>
        </w:rPr>
        <w:t xml:space="preserve">H2 (Airline Heterogeneity): </w:t>
      </w:r>
      <w:r>
        <w:rPr>
          <w:color w:val="000000"/>
        </w:rPr>
        <w:t xml:space="preserve">Ultra-Low-Cost Carriers (ULCCs) and </w:t>
      </w:r>
      <w:proofErr w:type="gramStart"/>
      <w:r>
        <w:rPr>
          <w:color w:val="000000"/>
        </w:rPr>
        <w:t>Regional</w:t>
      </w:r>
      <w:proofErr w:type="gramEnd"/>
      <w:r>
        <w:rPr>
          <w:color w:val="000000"/>
        </w:rPr>
        <w:t xml:space="preserve"> airlines exhibit greater delay and cancellation sensitivity to equivalent adverse weather than Legacy carriers, due to thinner schedule buffers and fewer spare assets.</w:t>
      </w:r>
    </w:p>
    <w:p w14:paraId="7F430601" w14:textId="77777777" w:rsidR="00787E35" w:rsidRDefault="00000000">
      <w:pPr>
        <w:pStyle w:val="ListParagraph"/>
        <w:numPr>
          <w:ilvl w:val="0"/>
          <w:numId w:val="2"/>
        </w:numPr>
        <w:spacing w:line="264" w:lineRule="auto"/>
      </w:pPr>
      <w:r>
        <w:rPr>
          <w:b/>
          <w:bCs/>
          <w:color w:val="000000"/>
        </w:rPr>
        <w:t xml:space="preserve">H3 (Schedule Cascade): </w:t>
      </w:r>
      <w:r>
        <w:rPr>
          <w:color w:val="000000"/>
        </w:rPr>
        <w:t>Time of day acts as an operational multiplier: evening departures incur substantially higher delays than early-morning departures under identical weather conditions, as minor morning disruptions compound progressively through the day.</w:t>
      </w:r>
    </w:p>
    <w:p w14:paraId="494A41AF" w14:textId="77777777" w:rsidR="00787E35" w:rsidRDefault="00000000">
      <w:pPr>
        <w:pStyle w:val="ListParagraph"/>
        <w:numPr>
          <w:ilvl w:val="0"/>
          <w:numId w:val="2"/>
        </w:numPr>
        <w:spacing w:line="264" w:lineRule="auto"/>
      </w:pPr>
      <w:r>
        <w:rPr>
          <w:b/>
          <w:bCs/>
          <w:color w:val="000000"/>
        </w:rPr>
        <w:t xml:space="preserve">H4 (Infrastructure Vulnerability): </w:t>
      </w:r>
      <w:r>
        <w:rPr>
          <w:color w:val="000000"/>
        </w:rPr>
        <w:t>After controlling for weather severity and airline composition, structural differences in runway configuration and airspace complexity produce persistent, measurable performance differentials across the three NYC airports.</w:t>
      </w:r>
    </w:p>
    <w:p w14:paraId="40C6B103" w14:textId="77777777" w:rsidR="00787E35" w:rsidRDefault="00000000">
      <w:pPr>
        <w:pStyle w:val="Heading1"/>
        <w:spacing w:before="240"/>
      </w:pPr>
      <w:r>
        <w:t>2. Data Description</w:t>
      </w:r>
    </w:p>
    <w:p w14:paraId="2181A326" w14:textId="77777777" w:rsidR="00787E35" w:rsidRDefault="00000000">
      <w:pPr>
        <w:pStyle w:val="Heading2"/>
        <w:spacing w:before="180"/>
      </w:pPr>
      <w:r>
        <w:t>2.1 Dataset Composition</w:t>
      </w:r>
    </w:p>
    <w:p w14:paraId="055CA13B" w14:textId="77777777" w:rsidR="00787E35" w:rsidRDefault="00000000">
      <w:pPr>
        <w:spacing w:after="120" w:line="264" w:lineRule="auto"/>
        <w:jc w:val="both"/>
      </w:pPr>
      <w:r>
        <w:rPr>
          <w:rFonts w:cs="Georgia"/>
          <w:color w:val="000000"/>
        </w:rPr>
        <w:lastRenderedPageBreak/>
        <w:t xml:space="preserve">Three data sources were integrated into a unified dataset of 1,906,959 departure records. The Bureau of Transportation Statistics (BTS) On-Time Performance database provided scheduled and actual departure times, delay minutes by cause category, and cancellation reason codes for all departures from JFK, LGA, and EWR between January 2021 and December 2025. </w:t>
      </w:r>
      <w:proofErr w:type="spellStart"/>
      <w:r>
        <w:rPr>
          <w:rFonts w:cs="Georgia"/>
          <w:color w:val="000000"/>
        </w:rPr>
        <w:t>Meteostat</w:t>
      </w:r>
      <w:proofErr w:type="spellEnd"/>
      <w:r>
        <w:rPr>
          <w:rFonts w:cs="Georgia"/>
          <w:color w:val="000000"/>
        </w:rPr>
        <w:t xml:space="preserve"> API hourly observations supplied precipitation intensity, wind speed, visibility, snow depth, and atmospheric pressure from co-located weather stations at each airport, joined to flight records at the AIRPORT × DATE × DEPARTURE_HOUR level. FAA Carrier Reference tables classified all 55 operating carriers into business-model tiers: Legacy, Low-Cost, Ultra-Low-Cost, Regional, and International. The OLS and classification models were estimated on a stratified random sample of 400,000 flight-hours drawn from the full dataset.</w:t>
      </w:r>
    </w:p>
    <w:p w14:paraId="4DA1FF4B" w14:textId="77777777" w:rsidR="00787E35" w:rsidRDefault="00000000">
      <w:pPr>
        <w:pStyle w:val="Heading2"/>
        <w:spacing w:before="180"/>
      </w:pPr>
      <w:r>
        <w:t>2.2 Feature Engineering</w:t>
      </w:r>
    </w:p>
    <w:p w14:paraId="5ACBB630" w14:textId="77777777" w:rsidR="00787E35" w:rsidRDefault="00000000">
      <w:pPr>
        <w:spacing w:after="120" w:line="264" w:lineRule="auto"/>
        <w:jc w:val="both"/>
      </w:pPr>
      <w:r>
        <w:rPr>
          <w:rFonts w:cs="Georgia"/>
          <w:color w:val="000000"/>
        </w:rPr>
        <w:t xml:space="preserve">Hourly-level join: </w:t>
      </w:r>
      <w:r>
        <w:rPr>
          <w:rFonts w:cs="Georgia"/>
          <w:b/>
          <w:bCs/>
          <w:color w:val="000000"/>
        </w:rPr>
        <w:t xml:space="preserve">Unlike prior literature that relies on daily or monthly weather averages, this study maps each flight to the exact meteorological conditions at its airport at its scheduled departure hour. A composite </w:t>
      </w:r>
      <w:r>
        <w:rPr>
          <w:rFonts w:cs="Georgia"/>
          <w:color w:val="000000"/>
        </w:rPr>
        <w:t xml:space="preserve">Weather Severity Score (0–10) was constructed from component variables: precipitation (max 3 pts), visibility (max 3 pts), wind speed (max 2 pts), and snowfall (max 2 pts). Departure delay was </w:t>
      </w:r>
      <w:proofErr w:type="spellStart"/>
      <w:r>
        <w:rPr>
          <w:rFonts w:cs="Georgia"/>
          <w:color w:val="000000"/>
        </w:rPr>
        <w:t>winsorized</w:t>
      </w:r>
      <w:proofErr w:type="spellEnd"/>
      <w:r>
        <w:rPr>
          <w:rFonts w:cs="Georgia"/>
          <w:color w:val="000000"/>
        </w:rPr>
        <w:t xml:space="preserve"> at the 99th percentile (~170 min) to limit the leverage of multi-day diversion events on continuous outcome models.</w:t>
      </w:r>
    </w:p>
    <w:p w14:paraId="54193663" w14:textId="77777777" w:rsidR="00787E35" w:rsidRDefault="00787E35">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787E35" w14:paraId="3D9A5579" w14:textId="77777777">
        <w:tblPrEx>
          <w:tblCellMar>
            <w:top w:w="0" w:type="dxa"/>
            <w:bottom w:w="0" w:type="dxa"/>
          </w:tblCellMar>
        </w:tblPrEx>
        <w:tc>
          <w:tcPr>
            <w:tcW w:w="9200" w:type="dxa"/>
            <w:tcBorders>
              <w:top w:val="dashed" w:sz="4" w:space="0" w:color="888888"/>
              <w:left w:val="dashed" w:sz="4" w:space="0" w:color="888888"/>
              <w:bottom w:val="dashed" w:sz="4" w:space="0" w:color="888888"/>
              <w:right w:val="dashed" w:sz="4" w:space="0" w:color="888888"/>
            </w:tcBorders>
            <w:shd w:val="clear" w:color="auto" w:fill="E8E8E8"/>
            <w:tcMar>
              <w:top w:w="160" w:type="dxa"/>
              <w:left w:w="200" w:type="dxa"/>
              <w:bottom w:w="160" w:type="dxa"/>
              <w:right w:w="200" w:type="dxa"/>
            </w:tcMar>
            <w:vAlign w:val="center"/>
          </w:tcPr>
          <w:p w14:paraId="664863D5" w14:textId="77777777" w:rsidR="00787E35" w:rsidRDefault="00000000">
            <w:pPr>
              <w:spacing w:before="60" w:after="20"/>
              <w:jc w:val="center"/>
            </w:pPr>
            <w:r>
              <w:rPr>
                <w:rFonts w:ascii="Arial" w:eastAsia="Arial" w:hAnsi="Arial" w:cs="Arial"/>
                <w:b/>
                <w:bCs/>
                <w:color w:val="888888"/>
                <w:sz w:val="18"/>
                <w:szCs w:val="18"/>
              </w:rPr>
              <w:t xml:space="preserve">[ INSERT FIGURE 1 </w:t>
            </w:r>
            <w:proofErr w:type="gramStart"/>
            <w:r>
              <w:rPr>
                <w:rFonts w:ascii="Arial" w:eastAsia="Arial" w:hAnsi="Arial" w:cs="Arial"/>
                <w:b/>
                <w:bCs/>
                <w:color w:val="888888"/>
                <w:sz w:val="18"/>
                <w:szCs w:val="18"/>
              </w:rPr>
              <w:t>HERE ]</w:t>
            </w:r>
            <w:proofErr w:type="gramEnd"/>
          </w:p>
          <w:p w14:paraId="022AC37D" w14:textId="77777777" w:rsidR="00787E35" w:rsidRDefault="00000000">
            <w:pPr>
              <w:spacing w:after="60"/>
              <w:jc w:val="center"/>
            </w:pPr>
            <w:r>
              <w:rPr>
                <w:rFonts w:ascii="Arial" w:eastAsia="Arial" w:hAnsi="Arial" w:cs="Arial"/>
                <w:i/>
                <w:iCs/>
                <w:color w:val="888888"/>
                <w:sz w:val="18"/>
                <w:szCs w:val="18"/>
              </w:rPr>
              <w:t>DAT617_fig_delay_distribution.png</w:t>
            </w:r>
          </w:p>
        </w:tc>
      </w:tr>
    </w:tbl>
    <w:p w14:paraId="64CDCC3D" w14:textId="77777777" w:rsidR="00787E35" w:rsidRDefault="00000000">
      <w:pPr>
        <w:spacing w:before="60" w:after="160"/>
        <w:jc w:val="center"/>
      </w:pPr>
      <w:r>
        <w:rPr>
          <w:rFonts w:cs="Georgia"/>
          <w:b/>
          <w:bCs/>
          <w:color w:val="2E4057"/>
          <w:sz w:val="20"/>
          <w:szCs w:val="20"/>
        </w:rPr>
        <w:t xml:space="preserve">Figure 1: </w:t>
      </w:r>
      <w:r>
        <w:rPr>
          <w:rFonts w:cs="Georgia"/>
          <w:i/>
          <w:iCs/>
          <w:color w:val="2E4057"/>
          <w:sz w:val="20"/>
          <w:szCs w:val="20"/>
        </w:rPr>
        <w:t>Departure delay distribution by airport (JFK, LGA, EWR), 2021–2025. Distributions are right-skewed across all three airports; median delay is negative at each site, reflecting early departures, while the long right tail drives mean delays of 12–16 minutes.</w:t>
      </w:r>
    </w:p>
    <w:p w14:paraId="4621235D" w14:textId="77777777" w:rsidR="00787E35" w:rsidRDefault="00000000">
      <w:pPr>
        <w:pStyle w:val="Heading1"/>
        <w:spacing w:before="240"/>
      </w:pPr>
      <w:r>
        <w:t>3. Analytical Framework</w:t>
      </w:r>
    </w:p>
    <w:p w14:paraId="00569383" w14:textId="77777777" w:rsidR="00787E35" w:rsidRDefault="00000000">
      <w:pPr>
        <w:spacing w:after="120" w:line="264" w:lineRule="auto"/>
        <w:jc w:val="both"/>
      </w:pPr>
      <w:r>
        <w:rPr>
          <w:rFonts w:cs="Georgia"/>
          <w:color w:val="000000"/>
        </w:rPr>
        <w:t>A multi-model approach was applied to capture continuous outcomes, binary outcomes, non-linear interactions, and time-structured patterns. The table below maps each method to its target variable and the specific hypothesis it addresses.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4900"/>
      </w:tblGrid>
      <w:tr w:rsidR="00787E35" w14:paraId="212EE188" w14:textId="77777777">
        <w:tblPrEx>
          <w:tblCellMar>
            <w:top w:w="0" w:type="dxa"/>
            <w:bottom w:w="0" w:type="dxa"/>
          </w:tblCellMar>
        </w:tblPrEx>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70" w:type="dxa"/>
              <w:left w:w="110" w:type="dxa"/>
              <w:bottom w:w="70" w:type="dxa"/>
              <w:right w:w="110" w:type="dxa"/>
            </w:tcMar>
          </w:tcPr>
          <w:p w14:paraId="1465AB36" w14:textId="77777777" w:rsidR="00787E35" w:rsidRDefault="00000000">
            <w:pPr>
              <w:jc w:val="center"/>
            </w:pPr>
            <w:r>
              <w:rPr>
                <w:rFonts w:ascii="Arial" w:eastAsia="Arial" w:hAnsi="Arial" w:cs="Arial"/>
                <w:b/>
                <w:bCs/>
                <w:color w:val="FFFFFF"/>
                <w:sz w:val="18"/>
                <w:szCs w:val="18"/>
              </w:rPr>
              <w:t>Method</w:t>
            </w:r>
          </w:p>
        </w:tc>
        <w:tc>
          <w:tcPr>
            <w:tcW w:w="2100" w:type="dxa"/>
            <w:tcBorders>
              <w:top w:val="single" w:sz="1" w:space="0" w:color="1F3864"/>
              <w:left w:val="single" w:sz="1" w:space="0" w:color="1F3864"/>
              <w:bottom w:val="single" w:sz="1" w:space="0" w:color="1F3864"/>
              <w:right w:val="single" w:sz="1" w:space="0" w:color="1F3864"/>
            </w:tcBorders>
            <w:shd w:val="clear" w:color="auto" w:fill="1F3864"/>
            <w:tcMar>
              <w:top w:w="70" w:type="dxa"/>
              <w:left w:w="110" w:type="dxa"/>
              <w:bottom w:w="70" w:type="dxa"/>
              <w:right w:w="110" w:type="dxa"/>
            </w:tcMar>
          </w:tcPr>
          <w:p w14:paraId="1B65E6F3" w14:textId="77777777" w:rsidR="00787E35" w:rsidRDefault="00000000">
            <w:pPr>
              <w:jc w:val="center"/>
            </w:pPr>
            <w:r>
              <w:rPr>
                <w:rFonts w:ascii="Arial" w:eastAsia="Arial" w:hAnsi="Arial" w:cs="Arial"/>
                <w:b/>
                <w:bCs/>
                <w:color w:val="FFFFFF"/>
                <w:sz w:val="18"/>
                <w:szCs w:val="18"/>
              </w:rPr>
              <w:t>Outcome Variable</w:t>
            </w:r>
          </w:p>
        </w:tc>
        <w:tc>
          <w:tcPr>
            <w:tcW w:w="4900" w:type="dxa"/>
            <w:tcBorders>
              <w:top w:val="single" w:sz="1" w:space="0" w:color="1F3864"/>
              <w:left w:val="single" w:sz="1" w:space="0" w:color="1F3864"/>
              <w:bottom w:val="single" w:sz="1" w:space="0" w:color="1F3864"/>
              <w:right w:val="single" w:sz="1" w:space="0" w:color="1F3864"/>
            </w:tcBorders>
            <w:shd w:val="clear" w:color="auto" w:fill="1F3864"/>
            <w:tcMar>
              <w:top w:w="70" w:type="dxa"/>
              <w:left w:w="110" w:type="dxa"/>
              <w:bottom w:w="70" w:type="dxa"/>
              <w:right w:w="110" w:type="dxa"/>
            </w:tcMar>
          </w:tcPr>
          <w:p w14:paraId="2F59C031" w14:textId="77777777" w:rsidR="00787E35" w:rsidRDefault="00000000">
            <w:pPr>
              <w:jc w:val="center"/>
            </w:pPr>
            <w:r>
              <w:rPr>
                <w:rFonts w:ascii="Arial" w:eastAsia="Arial" w:hAnsi="Arial" w:cs="Arial"/>
                <w:b/>
                <w:bCs/>
                <w:color w:val="FFFFFF"/>
                <w:sz w:val="18"/>
                <w:szCs w:val="18"/>
              </w:rPr>
              <w:t>Purpose / Hypothesis Tested</w:t>
            </w:r>
          </w:p>
        </w:tc>
      </w:tr>
      <w:tr w:rsidR="00787E35" w14:paraId="704BB1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1E8EEE0F" w14:textId="77777777" w:rsidR="00787E35" w:rsidRDefault="00000000">
            <w:r>
              <w:rPr>
                <w:rFonts w:cs="Georgia"/>
                <w:color w:val="000000"/>
                <w:sz w:val="20"/>
                <w:szCs w:val="20"/>
              </w:rPr>
              <w:t>OLS Regression</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C4F6C25" w14:textId="77777777" w:rsidR="00787E35" w:rsidRDefault="00000000">
            <w:r>
              <w:rPr>
                <w:rFonts w:cs="Georgia"/>
                <w:color w:val="000000"/>
                <w:sz w:val="20"/>
                <w:szCs w:val="20"/>
              </w:rPr>
              <w:t>Departure delay (min)</w:t>
            </w:r>
          </w:p>
        </w:tc>
        <w:tc>
          <w:tcPr>
            <w:tcW w:w="4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DF4B835" w14:textId="350C9C62" w:rsidR="00787E35" w:rsidRDefault="00000000">
            <w:r>
              <w:rPr>
                <w:rFonts w:cs="Georgia"/>
                <w:color w:val="000000"/>
                <w:sz w:val="20"/>
                <w:szCs w:val="20"/>
              </w:rPr>
              <w:t xml:space="preserve">Marginal weather effect; time-of-day coefficients; airport fixed effects </w:t>
            </w:r>
            <w:r w:rsidR="00A93C66">
              <w:rPr>
                <w:rFonts w:cs="Georgia"/>
                <w:color w:val="000000"/>
                <w:sz w:val="20"/>
                <w:szCs w:val="20"/>
              </w:rPr>
              <w:t>-</w:t>
            </w:r>
            <w:r>
              <w:rPr>
                <w:rFonts w:cs="Georgia"/>
                <w:color w:val="000000"/>
                <w:sz w:val="20"/>
                <w:szCs w:val="20"/>
              </w:rPr>
              <w:t xml:space="preserve"> H1, H3, H4</w:t>
            </w:r>
          </w:p>
        </w:tc>
      </w:tr>
      <w:tr w:rsidR="00787E35" w14:paraId="5712F5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2DEC8D2" w14:textId="77777777" w:rsidR="00787E35" w:rsidRDefault="00000000">
            <w:r>
              <w:rPr>
                <w:rFonts w:cs="Georgia"/>
                <w:color w:val="000000"/>
                <w:sz w:val="20"/>
                <w:szCs w:val="20"/>
              </w:rPr>
              <w:t>Logistic Regression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7CAE9F1" w14:textId="77777777" w:rsidR="00787E35" w:rsidRDefault="00000000">
            <w:r>
              <w:rPr>
                <w:rFonts w:cs="Georgia"/>
                <w:color w:val="000000"/>
                <w:sz w:val="20"/>
                <w:szCs w:val="20"/>
              </w:rPr>
              <w:t>Cancellation (binary)</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E7DB199" w14:textId="621CFD87" w:rsidR="00787E35" w:rsidRDefault="00000000">
            <w:r>
              <w:rPr>
                <w:rFonts w:cs="Georgia"/>
                <w:color w:val="000000"/>
                <w:sz w:val="20"/>
                <w:szCs w:val="20"/>
              </w:rPr>
              <w:t xml:space="preserve">Cancellation probability and odds ratios under specific weather configurations </w:t>
            </w:r>
            <w:r w:rsidR="00A93C66">
              <w:rPr>
                <w:rFonts w:cs="Georgia"/>
                <w:color w:val="000000"/>
                <w:sz w:val="20"/>
                <w:szCs w:val="20"/>
              </w:rPr>
              <w:t>-</w:t>
            </w:r>
            <w:r>
              <w:rPr>
                <w:rFonts w:cs="Georgia"/>
                <w:color w:val="000000"/>
                <w:sz w:val="20"/>
                <w:szCs w:val="20"/>
              </w:rPr>
              <w:t xml:space="preserve"> H1</w:t>
            </w:r>
          </w:p>
        </w:tc>
      </w:tr>
      <w:tr w:rsidR="00787E35" w14:paraId="0F8324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D5D3A73" w14:textId="77777777" w:rsidR="00787E35" w:rsidRDefault="00000000">
            <w:r>
              <w:rPr>
                <w:rFonts w:cs="Georgia"/>
                <w:color w:val="000000"/>
                <w:sz w:val="20"/>
                <w:szCs w:val="20"/>
              </w:rPr>
              <w:t>Random Forest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C9812F0" w14:textId="77777777" w:rsidR="00787E35" w:rsidRDefault="00000000">
            <w:r>
              <w:rPr>
                <w:rFonts w:cs="Georgia"/>
                <w:color w:val="000000"/>
                <w:sz w:val="20"/>
                <w:szCs w:val="20"/>
              </w:rPr>
              <w:t>Departure delay (min)</w:t>
            </w:r>
          </w:p>
        </w:tc>
        <w:tc>
          <w:tcPr>
            <w:tcW w:w="4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11B4DC5" w14:textId="12323337" w:rsidR="00787E35" w:rsidRDefault="00000000">
            <w:r>
              <w:rPr>
                <w:rFonts w:cs="Georgia"/>
                <w:color w:val="000000"/>
                <w:sz w:val="20"/>
                <w:szCs w:val="20"/>
              </w:rPr>
              <w:t xml:space="preserve">Non-linear interaction capture; feature importance ranking </w:t>
            </w:r>
            <w:r w:rsidR="00A93C66">
              <w:rPr>
                <w:rFonts w:cs="Georgia"/>
                <w:color w:val="000000"/>
                <w:sz w:val="20"/>
                <w:szCs w:val="20"/>
              </w:rPr>
              <w:t>-</w:t>
            </w:r>
            <w:r>
              <w:rPr>
                <w:rFonts w:cs="Georgia"/>
                <w:color w:val="000000"/>
                <w:sz w:val="20"/>
                <w:szCs w:val="20"/>
              </w:rPr>
              <w:t xml:space="preserve"> H3 (cascade ranking)</w:t>
            </w:r>
          </w:p>
        </w:tc>
      </w:tr>
      <w:tr w:rsidR="00787E35" w14:paraId="30CE9A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50CF9BA" w14:textId="77777777" w:rsidR="00787E35" w:rsidRDefault="00000000">
            <w:r>
              <w:rPr>
                <w:rFonts w:cs="Georgia"/>
                <w:color w:val="000000"/>
                <w:sz w:val="20"/>
                <w:szCs w:val="20"/>
              </w:rPr>
              <w:t>K-Means Clustering (K=8)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DD51259" w14:textId="77777777" w:rsidR="00787E35" w:rsidRDefault="00000000">
            <w:r>
              <w:rPr>
                <w:rFonts w:cs="Georgia"/>
                <w:color w:val="000000"/>
                <w:sz w:val="20"/>
                <w:szCs w:val="20"/>
              </w:rPr>
              <w:t>Operational profile</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22DC441" w14:textId="77777777" w:rsidR="00787E35" w:rsidRDefault="00000000">
            <w:r>
              <w:rPr>
                <w:rFonts w:cs="Georgia"/>
                <w:color w:val="000000"/>
                <w:sz w:val="20"/>
                <w:szCs w:val="20"/>
              </w:rPr>
              <w:t>Identify naturally occurring delay archetypes; validate cascade vs. weather-driven typology</w:t>
            </w:r>
          </w:p>
        </w:tc>
      </w:tr>
      <w:tr w:rsidR="00787E35" w14:paraId="77CD3A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10247A8" w14:textId="77777777" w:rsidR="00787E35" w:rsidRDefault="00000000">
            <w:r>
              <w:rPr>
                <w:rFonts w:cs="Georgia"/>
                <w:color w:val="000000"/>
                <w:sz w:val="20"/>
                <w:szCs w:val="20"/>
              </w:rPr>
              <w:t>Time Series Decomposition</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F83ADAE" w14:textId="77777777" w:rsidR="00787E35" w:rsidRDefault="00000000">
            <w:r>
              <w:rPr>
                <w:rFonts w:cs="Georgia"/>
                <w:color w:val="000000"/>
                <w:sz w:val="20"/>
                <w:szCs w:val="20"/>
              </w:rPr>
              <w:t>Monthly on-time rate</w:t>
            </w:r>
          </w:p>
        </w:tc>
        <w:tc>
          <w:tcPr>
            <w:tcW w:w="4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9AAC827" w14:textId="77777777" w:rsidR="00787E35" w:rsidRDefault="00000000">
            <w:r>
              <w:rPr>
                <w:rFonts w:cs="Georgia"/>
                <w:color w:val="000000"/>
                <w:sz w:val="20"/>
                <w:szCs w:val="20"/>
              </w:rPr>
              <w:t>Separate post-pandemic recovery trend from recurring seasonal weather-driven patterns</w:t>
            </w:r>
          </w:p>
        </w:tc>
      </w:tr>
    </w:tbl>
    <w:p w14:paraId="1740073C" w14:textId="77777777" w:rsidR="00787E35" w:rsidRDefault="00787E35">
      <w:pPr>
        <w:spacing w:after="80"/>
      </w:pPr>
    </w:p>
    <w:p w14:paraId="0E6250CE" w14:textId="77777777" w:rsidR="00787E35" w:rsidRDefault="00000000">
      <w:pPr>
        <w:pStyle w:val="Heading1"/>
        <w:spacing w:before="240"/>
      </w:pPr>
      <w:r>
        <w:t>4. Results and Discussion</w:t>
      </w:r>
    </w:p>
    <w:p w14:paraId="6CC2B7AA" w14:textId="75B039BB" w:rsidR="00787E35" w:rsidRDefault="00000000">
      <w:pPr>
        <w:pStyle w:val="Heading2"/>
        <w:spacing w:before="180"/>
      </w:pPr>
      <w:r>
        <w:t xml:space="preserve">4.1 H1 </w:t>
      </w:r>
      <w:r w:rsidR="00A93C66">
        <w:t>-</w:t>
      </w:r>
      <w:r>
        <w:t xml:space="preserve"> Weather Effect on Delays and Cancellations (Supported)</w:t>
      </w:r>
    </w:p>
    <w:p w14:paraId="050CE3E1" w14:textId="72D7D478" w:rsidR="00787E35" w:rsidRDefault="00000000">
      <w:pPr>
        <w:spacing w:after="120" w:line="264" w:lineRule="auto"/>
        <w:jc w:val="both"/>
      </w:pPr>
      <w:r>
        <w:rPr>
          <w:rFonts w:cs="Georgia"/>
          <w:color w:val="000000"/>
        </w:rPr>
        <w:t xml:space="preserve">The OLS model returns statistically significant positive coefficients for all four primary meteorological predictors (all p &lt; 0.001). Per unit marginal effects, controlling for airport, airline tier, season, and </w:t>
      </w:r>
      <w:r>
        <w:rPr>
          <w:rFonts w:cs="Georgia"/>
          <w:color w:val="000000"/>
        </w:rPr>
        <w:lastRenderedPageBreak/>
        <w:t xml:space="preserve">departure hour, are </w:t>
      </w:r>
      <w:proofErr w:type="spellStart"/>
      <w:r>
        <w:rPr>
          <w:rFonts w:cs="Georgia"/>
          <w:color w:val="000000"/>
        </w:rPr>
        <w:t>summarised</w:t>
      </w:r>
      <w:proofErr w:type="spellEnd"/>
      <w:r>
        <w:rPr>
          <w:rFonts w:cs="Georgia"/>
          <w:color w:val="000000"/>
        </w:rPr>
        <w:t xml:space="preserve"> in Table 2 below. The conditional effect of adverse weather is operationally substantial: flights departing under adverse conditions (Severity Score ≥ 3.0) average 22.7 minutes of departure delay versus 11.9 minutes under normal conditions </w:t>
      </w:r>
      <w:r w:rsidR="00A93C66">
        <w:rPr>
          <w:rFonts w:cs="Georgia"/>
          <w:color w:val="000000"/>
        </w:rPr>
        <w:t>-</w:t>
      </w:r>
      <w:r>
        <w:rPr>
          <w:rFonts w:cs="Georgia"/>
          <w:color w:val="000000"/>
        </w:rPr>
        <w:t xml:space="preserve"> a 1.9x uplift. Cancellation odds are amplified by a factor of 4.2x under combined low-visibility and snowfall conditions relative to clear-sky days. The non-linear relationship between the Severity Score and delay </w:t>
      </w:r>
      <w:r w:rsidR="00A93C66">
        <w:rPr>
          <w:rFonts w:cs="Georgia"/>
          <w:color w:val="000000"/>
        </w:rPr>
        <w:t>-</w:t>
      </w:r>
      <w:r>
        <w:rPr>
          <w:rFonts w:cs="Georgia"/>
          <w:color w:val="000000"/>
        </w:rPr>
        <w:t xml:space="preserve"> stable at scores 0–3, accelerating above 4.0 </w:t>
      </w:r>
      <w:r w:rsidR="00A93C66">
        <w:rPr>
          <w:rFonts w:cs="Georgia"/>
          <w:color w:val="000000"/>
        </w:rPr>
        <w:t>-</w:t>
      </w:r>
      <w:r>
        <w:rPr>
          <w:rFonts w:cs="Georgia"/>
          <w:color w:val="000000"/>
        </w:rPr>
        <w:t xml:space="preserve"> is consistent with an airport system that possesses buffer capacity sufficient to absorb mild disruption but degrades rapidly beyond a threshold.</w:t>
      </w:r>
    </w:p>
    <w:p w14:paraId="5A8EF099" w14:textId="4BB2E439" w:rsidR="00787E35" w:rsidRDefault="00000000">
      <w:pPr>
        <w:spacing w:after="120" w:line="264" w:lineRule="auto"/>
        <w:jc w:val="both"/>
      </w:pPr>
      <w:r>
        <w:rPr>
          <w:rFonts w:cs="Georgia"/>
          <w:color w:val="000000"/>
        </w:rPr>
        <w:t xml:space="preserve">The overall model R² is 7.7%, in line with published aviation delay benchmarks (typical range: 5–20% for flight-level models). The low R² reflects the fundamental stochasticity of individual flight delay </w:t>
      </w:r>
      <w:r w:rsidR="00A93C66">
        <w:rPr>
          <w:rFonts w:cs="Georgia"/>
          <w:color w:val="000000"/>
        </w:rPr>
        <w:t>-</w:t>
      </w:r>
      <w:r>
        <w:rPr>
          <w:rFonts w:cs="Georgia"/>
          <w:color w:val="000000"/>
        </w:rPr>
        <w:t xml:space="preserve"> driven by mechanical issues, crew availability, and ATC decisions that are unobservable in the BTS dataset </w:t>
      </w:r>
      <w:r w:rsidR="00A93C66">
        <w:rPr>
          <w:rFonts w:cs="Georgia"/>
          <w:color w:val="000000"/>
        </w:rPr>
        <w:t>-</w:t>
      </w:r>
      <w:r>
        <w:rPr>
          <w:rFonts w:cs="Georgia"/>
          <w:color w:val="000000"/>
        </w:rPr>
        <w:t xml:space="preserve"> rather than model misspecification. The coefficients are operationally actionable regardless of the aggregate variance explained.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00"/>
        <w:gridCol w:w="1600"/>
        <w:gridCol w:w="1600"/>
      </w:tblGrid>
      <w:tr w:rsidR="00787E35" w14:paraId="26D7F3F6" w14:textId="77777777">
        <w:tblPrEx>
          <w:tblCellMar>
            <w:top w:w="0" w:type="dxa"/>
            <w:bottom w:w="0" w:type="dxa"/>
          </w:tblCellMar>
        </w:tblPrEx>
        <w:trPr>
          <w:tblHeader/>
        </w:trPr>
        <w:tc>
          <w:tcPr>
            <w:tcW w:w="3400" w:type="dxa"/>
            <w:tcBorders>
              <w:top w:val="single" w:sz="1" w:space="0" w:color="1F3864"/>
              <w:left w:val="single" w:sz="1" w:space="0" w:color="1F3864"/>
              <w:bottom w:val="single" w:sz="1" w:space="0" w:color="1F3864"/>
              <w:right w:val="single" w:sz="1" w:space="0" w:color="1F3864"/>
            </w:tcBorders>
            <w:shd w:val="clear" w:color="auto" w:fill="1F3864"/>
            <w:tcMar>
              <w:top w:w="70" w:type="dxa"/>
              <w:left w:w="110" w:type="dxa"/>
              <w:bottom w:w="70" w:type="dxa"/>
              <w:right w:w="110" w:type="dxa"/>
            </w:tcMar>
          </w:tcPr>
          <w:p w14:paraId="38B110D3" w14:textId="77777777" w:rsidR="00787E35" w:rsidRDefault="00000000">
            <w:pPr>
              <w:jc w:val="center"/>
            </w:pPr>
            <w:r>
              <w:rPr>
                <w:rFonts w:ascii="Arial" w:eastAsia="Arial" w:hAnsi="Arial" w:cs="Arial"/>
                <w:b/>
                <w:bCs/>
                <w:color w:val="FFFFFF"/>
                <w:sz w:val="18"/>
                <w:szCs w:val="18"/>
              </w:rPr>
              <w:t>Variable / Predictor</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70" w:type="dxa"/>
              <w:left w:w="110" w:type="dxa"/>
              <w:bottom w:w="70" w:type="dxa"/>
              <w:right w:w="110" w:type="dxa"/>
            </w:tcMar>
          </w:tcPr>
          <w:p w14:paraId="7BDF3010" w14:textId="77777777" w:rsidR="00787E35" w:rsidRDefault="00000000">
            <w:pPr>
              <w:jc w:val="center"/>
            </w:pPr>
            <w:r>
              <w:rPr>
                <w:rFonts w:ascii="Arial" w:eastAsia="Arial" w:hAnsi="Arial" w:cs="Arial"/>
                <w:b/>
                <w:bCs/>
                <w:color w:val="FFFFFF"/>
                <w:sz w:val="18"/>
                <w:szCs w:val="18"/>
              </w:rPr>
              <w:t>Coefficient</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70" w:type="dxa"/>
              <w:left w:w="110" w:type="dxa"/>
              <w:bottom w:w="70" w:type="dxa"/>
              <w:right w:w="110" w:type="dxa"/>
            </w:tcMar>
          </w:tcPr>
          <w:p w14:paraId="3C43C59B" w14:textId="77777777" w:rsidR="00787E35" w:rsidRDefault="00000000">
            <w:pPr>
              <w:jc w:val="center"/>
            </w:pPr>
            <w:r>
              <w:rPr>
                <w:rFonts w:ascii="Arial" w:eastAsia="Arial" w:hAnsi="Arial" w:cs="Arial"/>
                <w:b/>
                <w:bCs/>
                <w:color w:val="FFFFFF"/>
                <w:sz w:val="18"/>
                <w:szCs w:val="18"/>
              </w:rPr>
              <w:t>Significance</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70" w:type="dxa"/>
              <w:left w:w="110" w:type="dxa"/>
              <w:bottom w:w="70" w:type="dxa"/>
              <w:right w:w="110" w:type="dxa"/>
            </w:tcMar>
          </w:tcPr>
          <w:p w14:paraId="0F00A573" w14:textId="77777777" w:rsidR="00787E35" w:rsidRDefault="00000000">
            <w:pPr>
              <w:jc w:val="center"/>
            </w:pPr>
            <w:r>
              <w:rPr>
                <w:rFonts w:ascii="Arial" w:eastAsia="Arial" w:hAnsi="Arial" w:cs="Arial"/>
                <w:b/>
                <w:bCs/>
                <w:color w:val="FFFFFF"/>
                <w:sz w:val="18"/>
                <w:szCs w:val="18"/>
              </w:rPr>
              <w:t>Hypothesis</w:t>
            </w:r>
          </w:p>
        </w:tc>
      </w:tr>
      <w:tr w:rsidR="00787E35" w14:paraId="2A23099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5B6ED46" w14:textId="77777777" w:rsidR="00787E35" w:rsidRDefault="00000000">
            <w:r>
              <w:rPr>
                <w:rFonts w:cs="Georgia"/>
                <w:color w:val="000000"/>
                <w:sz w:val="20"/>
                <w:szCs w:val="20"/>
              </w:rPr>
              <w:t>Precipitation (per mm/</w:t>
            </w:r>
            <w:proofErr w:type="spellStart"/>
            <w:r>
              <w:rPr>
                <w:rFonts w:cs="Georgia"/>
                <w:color w:val="000000"/>
                <w:sz w:val="20"/>
                <w:szCs w:val="20"/>
              </w:rPr>
              <w:t>hr</w:t>
            </w:r>
            <w:proofErr w:type="spellEnd"/>
            <w:r>
              <w:rPr>
                <w:rFonts w:cs="Georgia"/>
                <w:color w:val="000000"/>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15B96628" w14:textId="77777777" w:rsidR="00787E35" w:rsidRDefault="00000000">
            <w:pPr>
              <w:jc w:val="center"/>
            </w:pPr>
            <w:r>
              <w:rPr>
                <w:rFonts w:cs="Georgia"/>
                <w:color w:val="000000"/>
                <w:sz w:val="20"/>
                <w:szCs w:val="20"/>
              </w:rPr>
              <w:t>+3.14 min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490CA34" w14:textId="77777777" w:rsidR="00787E35" w:rsidRDefault="00000000">
            <w:pPr>
              <w:jc w:val="center"/>
            </w:pPr>
            <w:r>
              <w:rPr>
                <w:rFonts w:cs="Georgia"/>
                <w:color w:val="000000"/>
                <w:sz w:val="20"/>
                <w:szCs w:val="20"/>
              </w:rPr>
              <w:t>p &lt; 0.001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1A9CCCF" w14:textId="77777777" w:rsidR="00787E35" w:rsidRDefault="00000000">
            <w:pPr>
              <w:jc w:val="center"/>
            </w:pPr>
            <w:r>
              <w:rPr>
                <w:rFonts w:cs="Georgia"/>
                <w:color w:val="000000"/>
                <w:sz w:val="20"/>
                <w:szCs w:val="20"/>
              </w:rPr>
              <w:t>H1</w:t>
            </w:r>
          </w:p>
        </w:tc>
      </w:tr>
      <w:tr w:rsidR="00787E35" w14:paraId="1864691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D332738" w14:textId="77777777" w:rsidR="00787E35" w:rsidRDefault="00000000">
            <w:r>
              <w:rPr>
                <w:rFonts w:cs="Georgia"/>
                <w:color w:val="000000"/>
                <w:sz w:val="20"/>
                <w:szCs w:val="20"/>
              </w:rPr>
              <w:t>Snowfall (per mm/</w:t>
            </w:r>
            <w:proofErr w:type="spellStart"/>
            <w:r>
              <w:rPr>
                <w:rFonts w:cs="Georgia"/>
                <w:color w:val="000000"/>
                <w:sz w:val="20"/>
                <w:szCs w:val="20"/>
              </w:rPr>
              <w:t>hr</w:t>
            </w:r>
            <w:proofErr w:type="spellEnd"/>
            <w:r>
              <w:rPr>
                <w:rFonts w:cs="Georgia"/>
                <w:color w:val="000000"/>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E744883" w14:textId="77777777" w:rsidR="00787E35" w:rsidRDefault="00000000">
            <w:pPr>
              <w:jc w:val="center"/>
            </w:pPr>
            <w:r>
              <w:rPr>
                <w:rFonts w:cs="Georgia"/>
                <w:color w:val="000000"/>
                <w:sz w:val="20"/>
                <w:szCs w:val="20"/>
              </w:rPr>
              <w:t>+7.58 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E0EBA21" w14:textId="77777777" w:rsidR="00787E35" w:rsidRDefault="00000000">
            <w:pPr>
              <w:jc w:val="center"/>
            </w:pPr>
            <w:r>
              <w:rPr>
                <w:rFonts w:cs="Georgia"/>
                <w:color w:val="000000"/>
                <w:sz w:val="20"/>
                <w:szCs w:val="20"/>
              </w:rPr>
              <w:t>p &lt; 0.001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6077D72" w14:textId="77777777" w:rsidR="00787E35" w:rsidRDefault="00000000">
            <w:pPr>
              <w:jc w:val="center"/>
            </w:pPr>
            <w:r>
              <w:rPr>
                <w:rFonts w:cs="Georgia"/>
                <w:color w:val="000000"/>
                <w:sz w:val="20"/>
                <w:szCs w:val="20"/>
              </w:rPr>
              <w:t>H1</w:t>
            </w:r>
          </w:p>
        </w:tc>
      </w:tr>
      <w:tr w:rsidR="00787E35" w14:paraId="4220332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F214A2F" w14:textId="77777777" w:rsidR="00787E35" w:rsidRDefault="00000000">
            <w:r>
              <w:rPr>
                <w:rFonts w:cs="Georgia"/>
                <w:color w:val="000000"/>
                <w:sz w:val="20"/>
                <w:szCs w:val="20"/>
              </w:rPr>
              <w:t>Visibility (per km improvement)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1B27E650" w14:textId="77777777" w:rsidR="00787E35" w:rsidRDefault="00000000">
            <w:pPr>
              <w:jc w:val="center"/>
            </w:pPr>
            <w:r>
              <w:rPr>
                <w:rFonts w:cs="Georgia"/>
                <w:color w:val="000000"/>
                <w:sz w:val="20"/>
                <w:szCs w:val="20"/>
              </w:rPr>
              <w:t>−0.78 min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4BB3A7D" w14:textId="77777777" w:rsidR="00787E35" w:rsidRDefault="00000000">
            <w:pPr>
              <w:jc w:val="center"/>
            </w:pPr>
            <w:r>
              <w:rPr>
                <w:rFonts w:cs="Georgia"/>
                <w:color w:val="000000"/>
                <w:sz w:val="20"/>
                <w:szCs w:val="20"/>
              </w:rPr>
              <w:t>p &lt; 0.001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DBFCCC9" w14:textId="77777777" w:rsidR="00787E35" w:rsidRDefault="00000000">
            <w:pPr>
              <w:jc w:val="center"/>
            </w:pPr>
            <w:r>
              <w:rPr>
                <w:rFonts w:cs="Georgia"/>
                <w:color w:val="000000"/>
                <w:sz w:val="20"/>
                <w:szCs w:val="20"/>
              </w:rPr>
              <w:t>H1</w:t>
            </w:r>
          </w:p>
        </w:tc>
      </w:tr>
      <w:tr w:rsidR="00787E35" w14:paraId="75EB423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856596B" w14:textId="77777777" w:rsidR="00787E35" w:rsidRDefault="00000000">
            <w:r>
              <w:rPr>
                <w:rFonts w:cs="Georgia"/>
                <w:color w:val="000000"/>
                <w:sz w:val="20"/>
                <w:szCs w:val="20"/>
              </w:rPr>
              <w:t>Wind Speed (per km/h)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3B1554E" w14:textId="77777777" w:rsidR="00787E35" w:rsidRDefault="00000000">
            <w:pPr>
              <w:jc w:val="center"/>
            </w:pPr>
            <w:r>
              <w:rPr>
                <w:rFonts w:cs="Georgia"/>
                <w:color w:val="000000"/>
                <w:sz w:val="20"/>
                <w:szCs w:val="20"/>
              </w:rPr>
              <w:t>+0.15 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5227FB4" w14:textId="77777777" w:rsidR="00787E35" w:rsidRDefault="00000000">
            <w:pPr>
              <w:jc w:val="center"/>
            </w:pPr>
            <w:r>
              <w:rPr>
                <w:rFonts w:cs="Georgia"/>
                <w:color w:val="000000"/>
                <w:sz w:val="20"/>
                <w:szCs w:val="20"/>
              </w:rPr>
              <w:t>p &lt; 0.001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78A0B96" w14:textId="77777777" w:rsidR="00787E35" w:rsidRDefault="00000000">
            <w:pPr>
              <w:jc w:val="center"/>
            </w:pPr>
            <w:r>
              <w:rPr>
                <w:rFonts w:cs="Georgia"/>
                <w:color w:val="000000"/>
                <w:sz w:val="20"/>
                <w:szCs w:val="20"/>
              </w:rPr>
              <w:t>H1</w:t>
            </w:r>
          </w:p>
        </w:tc>
      </w:tr>
      <w:tr w:rsidR="00787E35" w14:paraId="171CF00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D595309" w14:textId="77777777" w:rsidR="00787E35" w:rsidRDefault="00000000">
            <w:r>
              <w:rPr>
                <w:rFonts w:cs="Georgia"/>
                <w:color w:val="000000"/>
                <w:sz w:val="20"/>
                <w:szCs w:val="20"/>
              </w:rPr>
              <w:t>Night Departure vs. Red-Eye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6D36C8A" w14:textId="77777777" w:rsidR="00787E35" w:rsidRDefault="00000000">
            <w:pPr>
              <w:jc w:val="center"/>
            </w:pPr>
            <w:r>
              <w:rPr>
                <w:rFonts w:cs="Georgia"/>
                <w:color w:val="000000"/>
                <w:sz w:val="20"/>
                <w:szCs w:val="20"/>
              </w:rPr>
              <w:t>+27.0 min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7F7D608" w14:textId="77777777" w:rsidR="00787E35" w:rsidRDefault="00000000">
            <w:pPr>
              <w:jc w:val="center"/>
            </w:pPr>
            <w:r>
              <w:rPr>
                <w:rFonts w:cs="Georgia"/>
                <w:color w:val="000000"/>
                <w:sz w:val="20"/>
                <w:szCs w:val="20"/>
              </w:rPr>
              <w:t>p &lt; 0.001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9DAB9F6" w14:textId="77777777" w:rsidR="00787E35" w:rsidRDefault="00000000">
            <w:pPr>
              <w:jc w:val="center"/>
            </w:pPr>
            <w:r>
              <w:rPr>
                <w:rFonts w:cs="Georgia"/>
                <w:color w:val="000000"/>
                <w:sz w:val="20"/>
                <w:szCs w:val="20"/>
              </w:rPr>
              <w:t>H3</w:t>
            </w:r>
          </w:p>
        </w:tc>
      </w:tr>
      <w:tr w:rsidR="00787E35" w14:paraId="6DFEE24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C311854" w14:textId="77777777" w:rsidR="00787E35" w:rsidRDefault="00000000">
            <w:r>
              <w:rPr>
                <w:rFonts w:cs="Georgia"/>
                <w:color w:val="000000"/>
                <w:sz w:val="20"/>
                <w:szCs w:val="20"/>
              </w:rPr>
              <w:t>ULCC Weather Uplift (adverse vs. normal)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27F3BEA" w14:textId="77777777" w:rsidR="00787E35" w:rsidRDefault="00000000">
            <w:pPr>
              <w:jc w:val="center"/>
            </w:pPr>
            <w:r>
              <w:rPr>
                <w:rFonts w:cs="Georgia"/>
                <w:color w:val="000000"/>
                <w:sz w:val="20"/>
                <w:szCs w:val="20"/>
              </w:rPr>
              <w:t>+12.6 min (vs. Legacy +8.3 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62A3AFA" w14:textId="3F56C433" w:rsidR="00787E35" w:rsidRDefault="00A93C66">
            <w:pPr>
              <w:jc w:val="center"/>
            </w:pPr>
            <w:r>
              <w:rPr>
                <w:rFonts w:cs="Georgia"/>
                <w:color w:val="00000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D2560CA" w14:textId="77777777" w:rsidR="00787E35" w:rsidRDefault="00000000">
            <w:pPr>
              <w:jc w:val="center"/>
            </w:pPr>
            <w:r>
              <w:rPr>
                <w:rFonts w:cs="Georgia"/>
                <w:color w:val="000000"/>
                <w:sz w:val="20"/>
                <w:szCs w:val="20"/>
              </w:rPr>
              <w:t>H2</w:t>
            </w:r>
          </w:p>
        </w:tc>
      </w:tr>
      <w:tr w:rsidR="00787E35" w14:paraId="3D6936E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63C714C" w14:textId="77777777" w:rsidR="00787E35" w:rsidRDefault="00000000">
            <w:r>
              <w:rPr>
                <w:rFonts w:cs="Georgia"/>
                <w:color w:val="000000"/>
                <w:sz w:val="20"/>
                <w:szCs w:val="20"/>
              </w:rPr>
              <w:t>EWR vs. JFK Structural Deficit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7D35BD5" w14:textId="77777777" w:rsidR="00787E35" w:rsidRDefault="00000000">
            <w:pPr>
              <w:jc w:val="center"/>
            </w:pPr>
            <w:r>
              <w:rPr>
                <w:rFonts w:cs="Georgia"/>
                <w:color w:val="000000"/>
                <w:sz w:val="20"/>
                <w:szCs w:val="20"/>
              </w:rPr>
              <w:t xml:space="preserve">Higher delay despite lower </w:t>
            </w:r>
            <w:proofErr w:type="spellStart"/>
            <w:r>
              <w:rPr>
                <w:rFonts w:cs="Georgia"/>
                <w:color w:val="000000"/>
                <w:sz w:val="20"/>
                <w:szCs w:val="20"/>
              </w:rPr>
              <w:t>wx</w:t>
            </w:r>
            <w:proofErr w:type="spellEnd"/>
            <w:r>
              <w:rPr>
                <w:rFonts w:cs="Georgia"/>
                <w:color w:val="000000"/>
                <w:sz w:val="20"/>
                <w:szCs w:val="20"/>
              </w:rPr>
              <w:t xml:space="preserve"> exposure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276D172" w14:textId="02D80908" w:rsidR="00787E35" w:rsidRDefault="00A93C66">
            <w:pPr>
              <w:jc w:val="center"/>
            </w:pPr>
            <w:r>
              <w:rPr>
                <w:rFonts w:cs="Georgia"/>
                <w:color w:val="00000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34DDECC" w14:textId="77777777" w:rsidR="00787E35" w:rsidRDefault="00000000">
            <w:pPr>
              <w:jc w:val="center"/>
            </w:pPr>
            <w:r>
              <w:rPr>
                <w:rFonts w:cs="Georgia"/>
                <w:color w:val="000000"/>
                <w:sz w:val="20"/>
                <w:szCs w:val="20"/>
              </w:rPr>
              <w:t>H4</w:t>
            </w:r>
          </w:p>
        </w:tc>
      </w:tr>
      <w:tr w:rsidR="00787E35" w14:paraId="33E8DFD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86B8932" w14:textId="77777777" w:rsidR="00787E35" w:rsidRDefault="00000000">
            <w:r>
              <w:rPr>
                <w:rFonts w:cs="Georgia"/>
                <w:color w:val="000000"/>
                <w:sz w:val="20"/>
                <w:szCs w:val="20"/>
              </w:rPr>
              <w:t>Overall Model R²</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07AF7C4" w14:textId="77777777" w:rsidR="00787E35" w:rsidRDefault="00000000">
            <w:pPr>
              <w:jc w:val="center"/>
            </w:pPr>
            <w:r>
              <w:rPr>
                <w:rFonts w:cs="Georgia"/>
                <w:color w:val="000000"/>
                <w:sz w:val="20"/>
                <w:szCs w:val="20"/>
              </w:rPr>
              <w:t>7.7% (H3 model: 11.0%)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87FE150" w14:textId="6EBE7539" w:rsidR="00787E35" w:rsidRDefault="00A93C66">
            <w:pPr>
              <w:jc w:val="center"/>
            </w:pPr>
            <w:r>
              <w:rPr>
                <w:rFonts w:cs="Georgia"/>
                <w:color w:val="00000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CF37C00" w14:textId="77777777" w:rsidR="00787E35" w:rsidRDefault="00000000">
            <w:pPr>
              <w:jc w:val="center"/>
            </w:pPr>
            <w:r>
              <w:rPr>
                <w:rFonts w:cs="Georgia"/>
                <w:color w:val="000000"/>
                <w:sz w:val="20"/>
                <w:szCs w:val="20"/>
              </w:rPr>
              <w:t>All</w:t>
            </w:r>
          </w:p>
        </w:tc>
      </w:tr>
    </w:tbl>
    <w:p w14:paraId="07E04521" w14:textId="77777777" w:rsidR="00787E35" w:rsidRDefault="00787E35">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787E35" w14:paraId="720E26B4" w14:textId="77777777">
        <w:tblPrEx>
          <w:tblCellMar>
            <w:top w:w="0" w:type="dxa"/>
            <w:bottom w:w="0" w:type="dxa"/>
          </w:tblCellMar>
        </w:tblPrEx>
        <w:tc>
          <w:tcPr>
            <w:tcW w:w="9200" w:type="dxa"/>
            <w:tcBorders>
              <w:top w:val="dashed" w:sz="4" w:space="0" w:color="888888"/>
              <w:left w:val="dashed" w:sz="4" w:space="0" w:color="888888"/>
              <w:bottom w:val="dashed" w:sz="4" w:space="0" w:color="888888"/>
              <w:right w:val="dashed" w:sz="4" w:space="0" w:color="888888"/>
            </w:tcBorders>
            <w:shd w:val="clear" w:color="auto" w:fill="E8E8E8"/>
            <w:tcMar>
              <w:top w:w="160" w:type="dxa"/>
              <w:left w:w="200" w:type="dxa"/>
              <w:bottom w:w="160" w:type="dxa"/>
              <w:right w:w="200" w:type="dxa"/>
            </w:tcMar>
            <w:vAlign w:val="center"/>
          </w:tcPr>
          <w:p w14:paraId="41C8A66E" w14:textId="77777777" w:rsidR="00787E35" w:rsidRDefault="00000000">
            <w:pPr>
              <w:spacing w:before="60" w:after="20"/>
              <w:jc w:val="center"/>
            </w:pPr>
            <w:r>
              <w:rPr>
                <w:rFonts w:ascii="Arial" w:eastAsia="Arial" w:hAnsi="Arial" w:cs="Arial"/>
                <w:b/>
                <w:bCs/>
                <w:color w:val="888888"/>
                <w:sz w:val="18"/>
                <w:szCs w:val="18"/>
              </w:rPr>
              <w:t xml:space="preserve">[ INSERT FIGURE 2 </w:t>
            </w:r>
            <w:proofErr w:type="gramStart"/>
            <w:r>
              <w:rPr>
                <w:rFonts w:ascii="Arial" w:eastAsia="Arial" w:hAnsi="Arial" w:cs="Arial"/>
                <w:b/>
                <w:bCs/>
                <w:color w:val="888888"/>
                <w:sz w:val="18"/>
                <w:szCs w:val="18"/>
              </w:rPr>
              <w:t>HERE ]</w:t>
            </w:r>
            <w:proofErr w:type="gramEnd"/>
          </w:p>
          <w:p w14:paraId="49A5A094" w14:textId="77777777" w:rsidR="00787E35" w:rsidRDefault="00000000">
            <w:pPr>
              <w:spacing w:after="60"/>
              <w:jc w:val="center"/>
            </w:pPr>
            <w:r>
              <w:rPr>
                <w:rFonts w:ascii="Arial" w:eastAsia="Arial" w:hAnsi="Arial" w:cs="Arial"/>
                <w:i/>
                <w:iCs/>
                <w:color w:val="888888"/>
                <w:sz w:val="18"/>
                <w:szCs w:val="18"/>
              </w:rPr>
              <w:t>DAT617_fig_severity_vs_delay.png</w:t>
            </w:r>
          </w:p>
        </w:tc>
      </w:tr>
    </w:tbl>
    <w:p w14:paraId="23EFB889" w14:textId="77777777" w:rsidR="00787E35" w:rsidRDefault="00000000">
      <w:pPr>
        <w:spacing w:before="60" w:after="160"/>
        <w:jc w:val="center"/>
      </w:pPr>
      <w:r>
        <w:rPr>
          <w:rFonts w:cs="Georgia"/>
          <w:b/>
          <w:bCs/>
          <w:color w:val="2E4057"/>
          <w:sz w:val="20"/>
          <w:szCs w:val="20"/>
        </w:rPr>
        <w:t xml:space="preserve">Figure 2: </w:t>
      </w:r>
      <w:r>
        <w:rPr>
          <w:rFonts w:cs="Georgia"/>
          <w:i/>
          <w:iCs/>
          <w:color w:val="2E4057"/>
          <w:sz w:val="20"/>
          <w:szCs w:val="20"/>
        </w:rPr>
        <w:t>Non-linear relationship between Weather Severity Score (0–10) and mean departure delay. Delay increases at an accelerating rate as the severity score exceeds approximately 4.0, consistent with a threshold-based buffer depletion model. EWR (orange) crosses this inflection point at a lower severity level than JFK or LGA.</w:t>
      </w:r>
    </w:p>
    <w:p w14:paraId="3E871DE3" w14:textId="7F5B5BF6" w:rsidR="00787E35" w:rsidRDefault="00000000">
      <w:pPr>
        <w:pStyle w:val="Heading2"/>
        <w:spacing w:before="180"/>
      </w:pPr>
      <w:r>
        <w:t xml:space="preserve">4.2 H2 </w:t>
      </w:r>
      <w:r w:rsidR="00A93C66">
        <w:t>-</w:t>
      </w:r>
      <w:r>
        <w:t xml:space="preserve"> Airline Business Model Heterogeneity (Supported)</w:t>
      </w:r>
    </w:p>
    <w:p w14:paraId="60925731" w14:textId="445BA90D" w:rsidR="00787E35" w:rsidRDefault="00000000">
      <w:pPr>
        <w:spacing w:after="120" w:line="264" w:lineRule="auto"/>
        <w:jc w:val="both"/>
      </w:pPr>
      <w:r>
        <w:rPr>
          <w:rFonts w:cs="Georgia"/>
          <w:color w:val="000000"/>
        </w:rPr>
        <w:t xml:space="preserve">Airlines do not absorb equivalent weather disruptions equally. Under adverse conditions, Legacy carriers (Delta, United, American) experience a mean delay uplift of </w:t>
      </w:r>
      <w:r>
        <w:rPr>
          <w:rFonts w:cs="Georgia"/>
          <w:b/>
          <w:bCs/>
          <w:color w:val="000000"/>
        </w:rPr>
        <w:t>+8.3 minutes</w:t>
      </w:r>
      <w:r>
        <w:rPr>
          <w:rFonts w:cs="Georgia"/>
          <w:color w:val="000000"/>
        </w:rPr>
        <w:t xml:space="preserve"> relative to normal operations. Ultra-Low-Cost Carriers (Spirit, Frontier) experience an uplift of </w:t>
      </w:r>
      <w:r>
        <w:rPr>
          <w:rFonts w:cs="Georgia"/>
          <w:b/>
          <w:bCs/>
          <w:color w:val="000000"/>
        </w:rPr>
        <w:t>+12.6 minutes</w:t>
      </w:r>
      <w:r>
        <w:rPr>
          <w:rFonts w:cs="Georgia"/>
          <w:color w:val="000000"/>
        </w:rPr>
        <w:t xml:space="preserve"> </w:t>
      </w:r>
      <w:r w:rsidR="00A93C66">
        <w:rPr>
          <w:rFonts w:cs="Georgia"/>
          <w:color w:val="000000"/>
        </w:rPr>
        <w:t>-</w:t>
      </w:r>
      <w:r>
        <w:rPr>
          <w:rFonts w:cs="Georgia"/>
          <w:color w:val="000000"/>
        </w:rPr>
        <w:t xml:space="preserve"> a 52% greater sensitivity to identical weather. The mechanism is structural: ULCCs operate on aggressive minimum turn times (~45 minutes) with minimal spare aircraft inventory, a model efficient under normal conditions but brittle under meteorological stress. Regional carriers exhibit the highest absolute per-flight disruption under severe weather (+13.1 min uplift), partly because their disruption strategy </w:t>
      </w:r>
      <w:proofErr w:type="spellStart"/>
      <w:r>
        <w:rPr>
          <w:rFonts w:cs="Georgia"/>
          <w:color w:val="000000"/>
        </w:rPr>
        <w:t>favours</w:t>
      </w:r>
      <w:proofErr w:type="spellEnd"/>
      <w:r>
        <w:rPr>
          <w:rFonts w:cs="Georgia"/>
          <w:color w:val="000000"/>
        </w:rPr>
        <w:t xml:space="preserve"> cancellation over extended delay </w:t>
      </w:r>
      <w:r w:rsidR="00A93C66">
        <w:rPr>
          <w:rFonts w:cs="Georgia"/>
          <w:color w:val="000000"/>
        </w:rPr>
        <w:t>-</w:t>
      </w:r>
      <w:r>
        <w:rPr>
          <w:rFonts w:cs="Georgia"/>
          <w:color w:val="000000"/>
        </w:rPr>
        <w:t xml:space="preserve"> protecting mean delay statistics at the cost of the highest cancellation uplift (+3.4 percentage points) of any tier.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787E35" w14:paraId="21F0D488" w14:textId="77777777">
        <w:tblPrEx>
          <w:tblCellMar>
            <w:top w:w="0" w:type="dxa"/>
            <w:bottom w:w="0" w:type="dxa"/>
          </w:tblCellMar>
        </w:tblPrEx>
        <w:tc>
          <w:tcPr>
            <w:tcW w:w="9200" w:type="dxa"/>
            <w:tcBorders>
              <w:top w:val="dashed" w:sz="4" w:space="0" w:color="888888"/>
              <w:left w:val="dashed" w:sz="4" w:space="0" w:color="888888"/>
              <w:bottom w:val="dashed" w:sz="4" w:space="0" w:color="888888"/>
              <w:right w:val="dashed" w:sz="4" w:space="0" w:color="888888"/>
            </w:tcBorders>
            <w:shd w:val="clear" w:color="auto" w:fill="E8E8E8"/>
            <w:tcMar>
              <w:top w:w="160" w:type="dxa"/>
              <w:left w:w="200" w:type="dxa"/>
              <w:bottom w:w="160" w:type="dxa"/>
              <w:right w:w="200" w:type="dxa"/>
            </w:tcMar>
            <w:vAlign w:val="center"/>
          </w:tcPr>
          <w:p w14:paraId="6927E8D0" w14:textId="77777777" w:rsidR="00787E35" w:rsidRDefault="00000000">
            <w:pPr>
              <w:spacing w:before="60" w:after="20"/>
              <w:jc w:val="center"/>
            </w:pPr>
            <w:r>
              <w:rPr>
                <w:rFonts w:ascii="Arial" w:eastAsia="Arial" w:hAnsi="Arial" w:cs="Arial"/>
                <w:b/>
                <w:bCs/>
                <w:color w:val="888888"/>
                <w:sz w:val="18"/>
                <w:szCs w:val="18"/>
              </w:rPr>
              <w:t xml:space="preserve">[ INSERT FIGURE 3 </w:t>
            </w:r>
            <w:proofErr w:type="gramStart"/>
            <w:r>
              <w:rPr>
                <w:rFonts w:ascii="Arial" w:eastAsia="Arial" w:hAnsi="Arial" w:cs="Arial"/>
                <w:b/>
                <w:bCs/>
                <w:color w:val="888888"/>
                <w:sz w:val="18"/>
                <w:szCs w:val="18"/>
              </w:rPr>
              <w:t>HERE ]</w:t>
            </w:r>
            <w:proofErr w:type="gramEnd"/>
          </w:p>
          <w:p w14:paraId="3B1B50A0" w14:textId="77777777" w:rsidR="00787E35" w:rsidRDefault="00000000">
            <w:pPr>
              <w:spacing w:after="60"/>
              <w:jc w:val="center"/>
            </w:pPr>
            <w:r>
              <w:rPr>
                <w:rFonts w:ascii="Arial" w:eastAsia="Arial" w:hAnsi="Arial" w:cs="Arial"/>
                <w:i/>
                <w:iCs/>
                <w:color w:val="888888"/>
                <w:sz w:val="18"/>
                <w:szCs w:val="18"/>
              </w:rPr>
              <w:t>DAT617_fig_tier_weather_uplift.png</w:t>
            </w:r>
          </w:p>
        </w:tc>
      </w:tr>
    </w:tbl>
    <w:p w14:paraId="2F16270B" w14:textId="77777777" w:rsidR="00787E35" w:rsidRDefault="00000000">
      <w:pPr>
        <w:spacing w:before="60" w:after="160"/>
        <w:jc w:val="center"/>
      </w:pPr>
      <w:r>
        <w:rPr>
          <w:rFonts w:cs="Georgia"/>
          <w:b/>
          <w:bCs/>
          <w:color w:val="2E4057"/>
          <w:sz w:val="20"/>
          <w:szCs w:val="20"/>
        </w:rPr>
        <w:lastRenderedPageBreak/>
        <w:t xml:space="preserve">Figure 3: </w:t>
      </w:r>
      <w:r>
        <w:rPr>
          <w:rFonts w:cs="Georgia"/>
          <w:i/>
          <w:iCs/>
          <w:color w:val="2E4057"/>
          <w:sz w:val="20"/>
          <w:szCs w:val="20"/>
        </w:rPr>
        <w:t>Mean departure delay by airline business tier under normal vs. adverse weather conditions. The delay uplift differential (adverse minus normal) is substantially larger for ULCC and Regional carriers than for Legacy carriers, confirming H2. Error bars represent 95% confidence intervals.</w:t>
      </w:r>
    </w:p>
    <w:p w14:paraId="7FE4AF54" w14:textId="0F8FFE1C" w:rsidR="00787E35" w:rsidRDefault="00000000">
      <w:pPr>
        <w:pStyle w:val="Heading2"/>
        <w:spacing w:before="180"/>
      </w:pPr>
      <w:r>
        <w:t xml:space="preserve">4.3 H3 </w:t>
      </w:r>
      <w:r w:rsidR="00A93C66">
        <w:t>-</w:t>
      </w:r>
      <w:r>
        <w:t xml:space="preserve"> Schedule Cascade (Supported)</w:t>
      </w:r>
    </w:p>
    <w:p w14:paraId="03271DA9" w14:textId="478700B9" w:rsidR="00787E35" w:rsidRDefault="00000000">
      <w:pPr>
        <w:spacing w:after="120" w:line="264" w:lineRule="auto"/>
        <w:jc w:val="both"/>
      </w:pPr>
      <w:r>
        <w:rPr>
          <w:rFonts w:cs="Georgia"/>
          <w:color w:val="000000"/>
        </w:rPr>
        <w:t xml:space="preserve">Random Forest feature importance ranks </w:t>
      </w:r>
      <w:r>
        <w:rPr>
          <w:rFonts w:cs="Georgia"/>
          <w:b/>
          <w:bCs/>
          <w:color w:val="000000"/>
        </w:rPr>
        <w:t>Departure Hour as a stronger predictor of delay than several meteorological variables</w:t>
      </w:r>
      <w:r>
        <w:rPr>
          <w:rFonts w:cs="Georgia"/>
          <w:color w:val="000000"/>
        </w:rPr>
        <w:t xml:space="preserve"> in the full model, motivating the dedicated H3 specification. The H3 OLS model </w:t>
      </w:r>
      <w:r w:rsidR="00A93C66">
        <w:rPr>
          <w:rFonts w:cs="Georgia"/>
          <w:color w:val="000000"/>
        </w:rPr>
        <w:t>-</w:t>
      </w:r>
      <w:r>
        <w:rPr>
          <w:rFonts w:cs="Georgia"/>
          <w:color w:val="000000"/>
        </w:rPr>
        <w:t xml:space="preserve"> using the red-eye window (00:00–05:00) as the reference category and controlling for weather, airport, airline tier, and season </w:t>
      </w:r>
      <w:r w:rsidR="00A93C66">
        <w:rPr>
          <w:rFonts w:cs="Georgia"/>
          <w:color w:val="000000"/>
        </w:rPr>
        <w:t>-</w:t>
      </w:r>
      <w:r>
        <w:rPr>
          <w:rFonts w:cs="Georgia"/>
          <w:color w:val="000000"/>
        </w:rPr>
        <w:t xml:space="preserve"> finds that flights departing in the 21:00–23:00 window incur </w:t>
      </w:r>
      <w:r>
        <w:rPr>
          <w:rFonts w:cs="Georgia"/>
          <w:b/>
          <w:bCs/>
          <w:color w:val="000000"/>
        </w:rPr>
        <w:t>+27.0 additional minutes of delay relative to equivalent red-eye flights</w:t>
      </w:r>
      <w:r>
        <w:rPr>
          <w:rFonts w:cs="Georgia"/>
          <w:color w:val="000000"/>
        </w:rPr>
        <w:t xml:space="preserve"> (p &lt; 0.001). This model achieves R² = 11.0%, meaningfully above the main-effects specification. The practical implication is direct: an evening flight in clear-sky conditions is statistically more likely to be delayed than a morning flight operating in poor weather. The cascade is not weather </w:t>
      </w:r>
      <w:r w:rsidR="00A93C66">
        <w:rPr>
          <w:rFonts w:cs="Georgia"/>
          <w:color w:val="000000"/>
        </w:rPr>
        <w:t>-</w:t>
      </w:r>
      <w:r>
        <w:rPr>
          <w:rFonts w:cs="Georgia"/>
          <w:color w:val="000000"/>
        </w:rPr>
        <w:t xml:space="preserve"> it is compounded operational debt.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787E35" w14:paraId="6E32728D" w14:textId="77777777">
        <w:tblPrEx>
          <w:tblCellMar>
            <w:top w:w="0" w:type="dxa"/>
            <w:bottom w:w="0" w:type="dxa"/>
          </w:tblCellMar>
        </w:tblPrEx>
        <w:tc>
          <w:tcPr>
            <w:tcW w:w="9200" w:type="dxa"/>
            <w:tcBorders>
              <w:top w:val="dashed" w:sz="4" w:space="0" w:color="888888"/>
              <w:left w:val="dashed" w:sz="4" w:space="0" w:color="888888"/>
              <w:bottom w:val="dashed" w:sz="4" w:space="0" w:color="888888"/>
              <w:right w:val="dashed" w:sz="4" w:space="0" w:color="888888"/>
            </w:tcBorders>
            <w:shd w:val="clear" w:color="auto" w:fill="E8E8E8"/>
            <w:tcMar>
              <w:top w:w="160" w:type="dxa"/>
              <w:left w:w="200" w:type="dxa"/>
              <w:bottom w:w="160" w:type="dxa"/>
              <w:right w:w="200" w:type="dxa"/>
            </w:tcMar>
            <w:vAlign w:val="center"/>
          </w:tcPr>
          <w:p w14:paraId="0EA97E57" w14:textId="77777777" w:rsidR="00787E35" w:rsidRDefault="00000000">
            <w:pPr>
              <w:spacing w:before="60" w:after="20"/>
              <w:jc w:val="center"/>
            </w:pPr>
            <w:r>
              <w:rPr>
                <w:rFonts w:ascii="Arial" w:eastAsia="Arial" w:hAnsi="Arial" w:cs="Arial"/>
                <w:b/>
                <w:bCs/>
                <w:color w:val="888888"/>
                <w:sz w:val="18"/>
                <w:szCs w:val="18"/>
              </w:rPr>
              <w:t xml:space="preserve">[ INSERT FIGURE 4 </w:t>
            </w:r>
            <w:proofErr w:type="gramStart"/>
            <w:r>
              <w:rPr>
                <w:rFonts w:ascii="Arial" w:eastAsia="Arial" w:hAnsi="Arial" w:cs="Arial"/>
                <w:b/>
                <w:bCs/>
                <w:color w:val="888888"/>
                <w:sz w:val="18"/>
                <w:szCs w:val="18"/>
              </w:rPr>
              <w:t>HERE ]</w:t>
            </w:r>
            <w:proofErr w:type="gramEnd"/>
          </w:p>
          <w:p w14:paraId="17608DF3" w14:textId="77777777" w:rsidR="00787E35" w:rsidRDefault="00000000">
            <w:pPr>
              <w:spacing w:after="60"/>
              <w:jc w:val="center"/>
            </w:pPr>
            <w:r>
              <w:rPr>
                <w:rFonts w:ascii="Arial" w:eastAsia="Arial" w:hAnsi="Arial" w:cs="Arial"/>
                <w:i/>
                <w:iCs/>
                <w:color w:val="888888"/>
                <w:sz w:val="18"/>
                <w:szCs w:val="18"/>
              </w:rPr>
              <w:t>DAT617_fig_cascade_tod.png</w:t>
            </w:r>
          </w:p>
        </w:tc>
      </w:tr>
    </w:tbl>
    <w:p w14:paraId="20616BCF" w14:textId="77777777" w:rsidR="00787E35" w:rsidRDefault="00000000">
      <w:pPr>
        <w:spacing w:before="60" w:after="160"/>
        <w:jc w:val="center"/>
      </w:pPr>
      <w:r>
        <w:rPr>
          <w:rFonts w:cs="Georgia"/>
          <w:b/>
          <w:bCs/>
          <w:color w:val="2E4057"/>
          <w:sz w:val="20"/>
          <w:szCs w:val="20"/>
        </w:rPr>
        <w:t xml:space="preserve">Figure 4: </w:t>
      </w:r>
      <w:r>
        <w:rPr>
          <w:rFonts w:cs="Georgia"/>
          <w:i/>
          <w:iCs/>
          <w:color w:val="2E4057"/>
          <w:sz w:val="20"/>
          <w:szCs w:val="20"/>
        </w:rPr>
        <w:t>Mean departure delay by time-of-day bucket, shown for both normal and adverse weather conditions. The cascade effect is visible in both series: delay rises progressively from the morning window through the late evening peak, and the gap between normal and adverse conditions narrows at night as operational compounding displaces weather as the dominant driver.</w:t>
      </w:r>
    </w:p>
    <w:p w14:paraId="54719CEB" w14:textId="553DA6C5" w:rsidR="00787E35" w:rsidRDefault="00000000">
      <w:pPr>
        <w:pStyle w:val="Heading2"/>
        <w:spacing w:before="180"/>
      </w:pPr>
      <w:r>
        <w:t xml:space="preserve">4.4 H4 </w:t>
      </w:r>
      <w:r w:rsidR="00A93C66">
        <w:t>-</w:t>
      </w:r>
      <w:r>
        <w:t xml:space="preserve"> Airport Infrastructure and Structural Performance (Supported, Modified)</w:t>
      </w:r>
    </w:p>
    <w:p w14:paraId="259DD078" w14:textId="0DB5CA49" w:rsidR="00787E35" w:rsidRDefault="00000000">
      <w:pPr>
        <w:spacing w:after="120" w:line="264" w:lineRule="auto"/>
        <w:jc w:val="both"/>
      </w:pPr>
      <w:r>
        <w:rPr>
          <w:rFonts w:cs="Georgia"/>
          <w:color w:val="000000"/>
        </w:rPr>
        <w:t xml:space="preserve">The OLS airport fixed effects identify EWR as the primary structural underperformer </w:t>
      </w:r>
      <w:r w:rsidR="00A93C66">
        <w:rPr>
          <w:rFonts w:cs="Georgia"/>
          <w:color w:val="000000"/>
        </w:rPr>
        <w:t>-</w:t>
      </w:r>
      <w:r>
        <w:rPr>
          <w:rFonts w:cs="Georgia"/>
          <w:color w:val="000000"/>
        </w:rPr>
        <w:t xml:space="preserve"> a finding that refines the original H4 formulation. EWR carries the lowest adverse weather exposure rate of the three airports (4.2% of flight-hours classified as adverse) yet records the worst on-time rate (76.5%) and highest mean departure delay. In clear conditions, LGA is the best-performing airport (on-time rate: 83%), contradicting the initial hypothesis that LGA's two-runway constraint would be the dominant infrastructure liability. The evidence for LGA's fragility is conditional: its performance gap relative to JFK widens specifically under high-severity weather events, consistent with the runway geometry hypothesis at the tail of the severity distribution, but not across the full operational envelope.</w:t>
      </w:r>
    </w:p>
    <w:p w14:paraId="3253510E" w14:textId="77777777" w:rsidR="00787E35" w:rsidRDefault="00000000">
      <w:pPr>
        <w:spacing w:after="120" w:line="264" w:lineRule="auto"/>
        <w:jc w:val="both"/>
      </w:pPr>
      <w:r>
        <w:rPr>
          <w:rFonts w:cs="Georgia"/>
          <w:color w:val="000000"/>
        </w:rPr>
        <w:t>The mechanistic explanation for EWR's persistent underperformance lies in its cancellation cause breakdown: EWR records a substantially larger share of NAS/ATC-attributed cancellations than either JFK or LGA. The underperformance is a structural problem of airspace routing and ground flow management, not a function of weather exposure.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787E35" w14:paraId="4674B79E" w14:textId="77777777">
        <w:tblPrEx>
          <w:tblCellMar>
            <w:top w:w="0" w:type="dxa"/>
            <w:bottom w:w="0" w:type="dxa"/>
          </w:tblCellMar>
        </w:tblPrEx>
        <w:tc>
          <w:tcPr>
            <w:tcW w:w="9200" w:type="dxa"/>
            <w:tcBorders>
              <w:top w:val="dashed" w:sz="4" w:space="0" w:color="888888"/>
              <w:left w:val="dashed" w:sz="4" w:space="0" w:color="888888"/>
              <w:bottom w:val="dashed" w:sz="4" w:space="0" w:color="888888"/>
              <w:right w:val="dashed" w:sz="4" w:space="0" w:color="888888"/>
            </w:tcBorders>
            <w:shd w:val="clear" w:color="auto" w:fill="E8E8E8"/>
            <w:tcMar>
              <w:top w:w="160" w:type="dxa"/>
              <w:left w:w="200" w:type="dxa"/>
              <w:bottom w:w="160" w:type="dxa"/>
              <w:right w:w="200" w:type="dxa"/>
            </w:tcMar>
            <w:vAlign w:val="center"/>
          </w:tcPr>
          <w:p w14:paraId="4159482C" w14:textId="77777777" w:rsidR="00787E35" w:rsidRDefault="00000000">
            <w:pPr>
              <w:spacing w:before="60" w:after="20"/>
              <w:jc w:val="center"/>
            </w:pPr>
            <w:r>
              <w:rPr>
                <w:rFonts w:ascii="Arial" w:eastAsia="Arial" w:hAnsi="Arial" w:cs="Arial"/>
                <w:b/>
                <w:bCs/>
                <w:color w:val="888888"/>
                <w:sz w:val="18"/>
                <w:szCs w:val="18"/>
              </w:rPr>
              <w:t xml:space="preserve">[ INSERT FIGURE 5 </w:t>
            </w:r>
            <w:proofErr w:type="gramStart"/>
            <w:r>
              <w:rPr>
                <w:rFonts w:ascii="Arial" w:eastAsia="Arial" w:hAnsi="Arial" w:cs="Arial"/>
                <w:b/>
                <w:bCs/>
                <w:color w:val="888888"/>
                <w:sz w:val="18"/>
                <w:szCs w:val="18"/>
              </w:rPr>
              <w:t>HERE ]</w:t>
            </w:r>
            <w:proofErr w:type="gramEnd"/>
          </w:p>
          <w:p w14:paraId="1932A1C5" w14:textId="77777777" w:rsidR="00787E35" w:rsidRDefault="00000000">
            <w:pPr>
              <w:spacing w:after="60"/>
              <w:jc w:val="center"/>
            </w:pPr>
            <w:r>
              <w:rPr>
                <w:rFonts w:ascii="Arial" w:eastAsia="Arial" w:hAnsi="Arial" w:cs="Arial"/>
                <w:i/>
                <w:iCs/>
                <w:color w:val="888888"/>
                <w:sz w:val="18"/>
                <w:szCs w:val="18"/>
              </w:rPr>
              <w:t>DAT617_fig_airport_severity_band.png</w:t>
            </w:r>
          </w:p>
        </w:tc>
      </w:tr>
    </w:tbl>
    <w:p w14:paraId="06B4F2F5" w14:textId="25B90F39" w:rsidR="00787E35" w:rsidRDefault="00000000">
      <w:pPr>
        <w:spacing w:before="60" w:after="160"/>
        <w:jc w:val="center"/>
      </w:pPr>
      <w:r>
        <w:rPr>
          <w:rFonts w:cs="Georgia"/>
          <w:b/>
          <w:bCs/>
          <w:color w:val="2E4057"/>
          <w:sz w:val="20"/>
          <w:szCs w:val="20"/>
        </w:rPr>
        <w:t xml:space="preserve">Figure 5: </w:t>
      </w:r>
      <w:r>
        <w:rPr>
          <w:rFonts w:cs="Georgia"/>
          <w:i/>
          <w:iCs/>
          <w:color w:val="2E4057"/>
          <w:sz w:val="20"/>
          <w:szCs w:val="20"/>
        </w:rPr>
        <w:t xml:space="preserve">Airport on-time rate and mean departure delay segmented by Weather Severity Band (Clear / Light / Moderate / Severe). Under Clear conditions, LGA leads and EWR lags. The performance gap between airports widens as severity increases, with LGA's clear-condition advantage eroding under Severe conditions </w:t>
      </w:r>
      <w:r w:rsidR="00A93C66">
        <w:rPr>
          <w:rFonts w:cs="Georgia"/>
          <w:i/>
          <w:iCs/>
          <w:color w:val="2E4057"/>
          <w:sz w:val="20"/>
          <w:szCs w:val="20"/>
        </w:rPr>
        <w:t>-</w:t>
      </w:r>
      <w:r>
        <w:rPr>
          <w:rFonts w:cs="Georgia"/>
          <w:i/>
          <w:iCs/>
          <w:color w:val="2E4057"/>
          <w:sz w:val="20"/>
          <w:szCs w:val="20"/>
        </w:rPr>
        <w:t xml:space="preserve"> confirming the conditional nature of the H4 infrastructure finding.</w:t>
      </w:r>
    </w:p>
    <w:p w14:paraId="66D94A36" w14:textId="0BE00166" w:rsidR="00787E35" w:rsidRDefault="00000000">
      <w:pPr>
        <w:pStyle w:val="Heading2"/>
        <w:spacing w:before="180"/>
      </w:pPr>
      <w:r>
        <w:t xml:space="preserve">4.5 Advanced Methods </w:t>
      </w:r>
      <w:r w:rsidR="00A93C66">
        <w:t>-</w:t>
      </w:r>
      <w:r>
        <w:t xml:space="preserve"> Clustering and Time Series</w:t>
      </w:r>
    </w:p>
    <w:p w14:paraId="3900F613" w14:textId="77777777" w:rsidR="00787E35" w:rsidRDefault="00000000">
      <w:pPr>
        <w:spacing w:after="120" w:line="264" w:lineRule="auto"/>
        <w:jc w:val="both"/>
      </w:pPr>
      <w:r>
        <w:rPr>
          <w:rFonts w:cs="Georgia"/>
          <w:color w:val="000000"/>
        </w:rPr>
        <w:t xml:space="preserve">K-Means clustering (K=8, selected via silhouette score) applied across five operational dimensions identified two structurally distinct archetypes. Cascade-Heavy clusters (C0, C7) exhibit mean delays of 137–193 minutes alongside adverse weather rates of 0–3.8%, confirming that operational compounding can produce extreme delays entirely independent of meteorological forcing. Weather-Disrupted clusters (C3, C6) show adverse weather rates of 22–37% with proportionally elevated delays. Time series decomposition of the 5-year monthly on-time rate series identifies July as the worst-performing month </w:t>
      </w:r>
      <w:r>
        <w:rPr>
          <w:rFonts w:cs="Georgia"/>
          <w:color w:val="000000"/>
        </w:rPr>
        <w:lastRenderedPageBreak/>
        <w:t>(+10.45 min above trend, driven by convective activity) and October as the best (−6.11 min below trend). The December 2022 residual spike corresponds to Winter Storm Elliott and is not captured in the seasonal component.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787E35" w14:paraId="518C82A3" w14:textId="77777777">
        <w:tblPrEx>
          <w:tblCellMar>
            <w:top w:w="0" w:type="dxa"/>
            <w:bottom w:w="0" w:type="dxa"/>
          </w:tblCellMar>
        </w:tblPrEx>
        <w:tc>
          <w:tcPr>
            <w:tcW w:w="9200" w:type="dxa"/>
            <w:tcBorders>
              <w:top w:val="dashed" w:sz="4" w:space="0" w:color="888888"/>
              <w:left w:val="dashed" w:sz="4" w:space="0" w:color="888888"/>
              <w:bottom w:val="dashed" w:sz="4" w:space="0" w:color="888888"/>
              <w:right w:val="dashed" w:sz="4" w:space="0" w:color="888888"/>
            </w:tcBorders>
            <w:shd w:val="clear" w:color="auto" w:fill="E8E8E8"/>
            <w:tcMar>
              <w:top w:w="160" w:type="dxa"/>
              <w:left w:w="200" w:type="dxa"/>
              <w:bottom w:w="160" w:type="dxa"/>
              <w:right w:w="200" w:type="dxa"/>
            </w:tcMar>
            <w:vAlign w:val="center"/>
          </w:tcPr>
          <w:p w14:paraId="74ED056D" w14:textId="77777777" w:rsidR="00787E35" w:rsidRDefault="00000000">
            <w:pPr>
              <w:spacing w:before="60" w:after="20"/>
              <w:jc w:val="center"/>
            </w:pPr>
            <w:r>
              <w:rPr>
                <w:rFonts w:ascii="Arial" w:eastAsia="Arial" w:hAnsi="Arial" w:cs="Arial"/>
                <w:b/>
                <w:bCs/>
                <w:color w:val="888888"/>
                <w:sz w:val="18"/>
                <w:szCs w:val="18"/>
              </w:rPr>
              <w:t xml:space="preserve">[ INSERT FIGURE 6 </w:t>
            </w:r>
            <w:proofErr w:type="gramStart"/>
            <w:r>
              <w:rPr>
                <w:rFonts w:ascii="Arial" w:eastAsia="Arial" w:hAnsi="Arial" w:cs="Arial"/>
                <w:b/>
                <w:bCs/>
                <w:color w:val="888888"/>
                <w:sz w:val="18"/>
                <w:szCs w:val="18"/>
              </w:rPr>
              <w:t>HERE ]</w:t>
            </w:r>
            <w:proofErr w:type="gramEnd"/>
          </w:p>
          <w:p w14:paraId="43F60E39" w14:textId="77777777" w:rsidR="00787E35" w:rsidRDefault="00000000">
            <w:pPr>
              <w:spacing w:after="60"/>
              <w:jc w:val="center"/>
            </w:pPr>
            <w:r>
              <w:rPr>
                <w:rFonts w:ascii="Arial" w:eastAsia="Arial" w:hAnsi="Arial" w:cs="Arial"/>
                <w:i/>
                <w:iCs/>
                <w:color w:val="888888"/>
                <w:sz w:val="18"/>
                <w:szCs w:val="18"/>
              </w:rPr>
              <w:t>DAT617_fig_clustering_heatmap.png</w:t>
            </w:r>
          </w:p>
        </w:tc>
      </w:tr>
    </w:tbl>
    <w:p w14:paraId="167C9091" w14:textId="4F870C53" w:rsidR="00787E35" w:rsidRDefault="00000000">
      <w:pPr>
        <w:spacing w:before="60" w:after="160"/>
        <w:jc w:val="center"/>
      </w:pPr>
      <w:r>
        <w:rPr>
          <w:rFonts w:cs="Georgia"/>
          <w:b/>
          <w:bCs/>
          <w:color w:val="2E4057"/>
          <w:sz w:val="20"/>
          <w:szCs w:val="20"/>
        </w:rPr>
        <w:t xml:space="preserve">Figure 6: </w:t>
      </w:r>
      <w:r>
        <w:rPr>
          <w:rFonts w:cs="Georgia"/>
          <w:i/>
          <w:iCs/>
          <w:color w:val="2E4057"/>
          <w:sz w:val="20"/>
          <w:szCs w:val="20"/>
        </w:rPr>
        <w:t xml:space="preserve">K-Means operational profile heatmap across 8 clusters and 5 performance dimensions (mean delay, cancellation rate, on-time rate, adverse weather rate, severity score). Cascade-Heavy clusters (top rows, red) exhibit severe delays at near-zero adverse weather exposure; Weather-Disrupted clusters show elevated weather rates with proportionately elevated </w:t>
      </w:r>
      <w:r w:rsidR="00A93C66">
        <w:rPr>
          <w:rFonts w:cs="Georgia"/>
          <w:i/>
          <w:iCs/>
          <w:color w:val="2E4057"/>
          <w:sz w:val="20"/>
          <w:szCs w:val="20"/>
        </w:rPr>
        <w:t>-</w:t>
      </w:r>
      <w:r>
        <w:rPr>
          <w:rFonts w:cs="Georgia"/>
          <w:i/>
          <w:iCs/>
          <w:color w:val="2E4057"/>
          <w:sz w:val="20"/>
          <w:szCs w:val="20"/>
        </w:rPr>
        <w:t xml:space="preserve"> but more contained </w:t>
      </w:r>
      <w:r w:rsidR="00A93C66">
        <w:rPr>
          <w:rFonts w:cs="Georgia"/>
          <w:i/>
          <w:iCs/>
          <w:color w:val="2E4057"/>
          <w:sz w:val="20"/>
          <w:szCs w:val="20"/>
        </w:rPr>
        <w:t>-</w:t>
      </w:r>
      <w:r>
        <w:rPr>
          <w:rFonts w:cs="Georgia"/>
          <w:i/>
          <w:iCs/>
          <w:color w:val="2E4057"/>
          <w:sz w:val="20"/>
          <w:szCs w:val="20"/>
        </w:rPr>
        <w:t xml:space="preserve"> delay outcomes.</w:t>
      </w:r>
    </w:p>
    <w:p w14:paraId="43C2CCFD" w14:textId="77777777" w:rsidR="00787E35" w:rsidRDefault="00000000">
      <w:pPr>
        <w:pStyle w:val="Heading1"/>
        <w:spacing w:before="240"/>
      </w:pPr>
      <w:r>
        <w:t>5. Limitations</w:t>
      </w:r>
    </w:p>
    <w:p w14:paraId="233ED63C" w14:textId="08B3F4F5" w:rsidR="00787E35" w:rsidRDefault="00000000">
      <w:pPr>
        <w:pStyle w:val="ListParagraph"/>
        <w:numPr>
          <w:ilvl w:val="0"/>
          <w:numId w:val="2"/>
        </w:numPr>
        <w:spacing w:line="264" w:lineRule="auto"/>
      </w:pPr>
      <w:r>
        <w:rPr>
          <w:b/>
          <w:bCs/>
          <w:color w:val="000000"/>
        </w:rPr>
        <w:t xml:space="preserve">R² and variance explanation: </w:t>
      </w:r>
      <w:r>
        <w:rPr>
          <w:color w:val="000000"/>
        </w:rPr>
        <w:t xml:space="preserve">The main model's R² of 7.7% is consistent with published benchmarks for flight-level delay modeling. The dominant sources of unexplained variance </w:t>
      </w:r>
      <w:r w:rsidR="00A93C66">
        <w:rPr>
          <w:color w:val="000000"/>
        </w:rPr>
        <w:t>-</w:t>
      </w:r>
      <w:r>
        <w:rPr>
          <w:color w:val="000000"/>
        </w:rPr>
        <w:t xml:space="preserve"> mechanical status, crew availability, and ATC tactical decisions </w:t>
      </w:r>
      <w:r w:rsidR="00A93C66">
        <w:rPr>
          <w:color w:val="000000"/>
        </w:rPr>
        <w:t>-</w:t>
      </w:r>
      <w:r>
        <w:rPr>
          <w:color w:val="000000"/>
        </w:rPr>
        <w:t xml:space="preserve"> are not observable in the BTS dataset. Coefficient estimates and directional findings are unaffected by the aggregate variance explained.</w:t>
      </w:r>
    </w:p>
    <w:p w14:paraId="3CAD8AD9" w14:textId="77777777" w:rsidR="00787E35" w:rsidRDefault="00000000">
      <w:pPr>
        <w:pStyle w:val="ListParagraph"/>
        <w:numPr>
          <w:ilvl w:val="0"/>
          <w:numId w:val="2"/>
        </w:numPr>
        <w:spacing w:line="264" w:lineRule="auto"/>
      </w:pPr>
      <w:r>
        <w:rPr>
          <w:b/>
          <w:bCs/>
          <w:color w:val="000000"/>
        </w:rPr>
        <w:t xml:space="preserve">Causality vs. correlation: </w:t>
      </w:r>
      <w:r>
        <w:rPr>
          <w:color w:val="000000"/>
        </w:rPr>
        <w:t>The observational design establishes robust association rather than causation in the strict experimental sense. The temporal ordering (weather precedes departure) and the multi-variable control structure support directional inference, but random assignment of weather conditions to flights would be required for formal causal identification.</w:t>
      </w:r>
    </w:p>
    <w:p w14:paraId="68B47282" w14:textId="77777777" w:rsidR="00787E35" w:rsidRDefault="00000000">
      <w:pPr>
        <w:pStyle w:val="ListParagraph"/>
        <w:numPr>
          <w:ilvl w:val="0"/>
          <w:numId w:val="2"/>
        </w:numPr>
        <w:spacing w:line="264" w:lineRule="auto"/>
      </w:pPr>
      <w:r>
        <w:rPr>
          <w:b/>
          <w:bCs/>
          <w:color w:val="000000"/>
        </w:rPr>
        <w:t xml:space="preserve">Network ripple effects: </w:t>
      </w:r>
      <w:r>
        <w:rPr>
          <w:color w:val="000000"/>
        </w:rPr>
        <w:t>The dataset covers NYC departures only. Delays attributed to clear-sky NYC conditions may reflect weather disruptions at upstream originating airports (e.g., Chicago O'Hare, Atlanta Hartsfield) that are not observed in this study.</w:t>
      </w:r>
    </w:p>
    <w:p w14:paraId="6D99D099" w14:textId="77777777" w:rsidR="00787E35" w:rsidRDefault="00000000">
      <w:pPr>
        <w:pStyle w:val="ListParagraph"/>
        <w:numPr>
          <w:ilvl w:val="0"/>
          <w:numId w:val="2"/>
        </w:numPr>
        <w:spacing w:line="264" w:lineRule="auto"/>
      </w:pPr>
      <w:proofErr w:type="spellStart"/>
      <w:r>
        <w:rPr>
          <w:b/>
          <w:bCs/>
          <w:color w:val="000000"/>
        </w:rPr>
        <w:t>Winsorization</w:t>
      </w:r>
      <w:proofErr w:type="spellEnd"/>
      <w:r>
        <w:rPr>
          <w:b/>
          <w:bCs/>
          <w:color w:val="000000"/>
        </w:rPr>
        <w:t xml:space="preserve"> and tail events: </w:t>
      </w:r>
      <w:r>
        <w:rPr>
          <w:color w:val="000000"/>
        </w:rPr>
        <w:t>Capping delays at the 99th percentile (~170 min) produces accurate models for routine operational disruptions but systematically under-predicts the severity of catastrophic multi-day system events.</w:t>
      </w:r>
    </w:p>
    <w:p w14:paraId="40E46296" w14:textId="77777777" w:rsidR="00787E35" w:rsidRDefault="00000000">
      <w:pPr>
        <w:pStyle w:val="Heading1"/>
        <w:spacing w:before="240"/>
      </w:pPr>
      <w:r>
        <w:t>6. Conclusions and Recommendations</w:t>
      </w:r>
    </w:p>
    <w:p w14:paraId="14A6E8A4" w14:textId="0E2C1722" w:rsidR="00787E35" w:rsidRDefault="00000000">
      <w:pPr>
        <w:spacing w:after="120" w:line="264" w:lineRule="auto"/>
        <w:jc w:val="both"/>
      </w:pPr>
      <w:r>
        <w:rPr>
          <w:rFonts w:cs="Georgia"/>
          <w:color w:val="000000"/>
        </w:rPr>
        <w:t xml:space="preserve">Departure delays at NYC-area airports are not random events. They are the predictable output of meteorological conditions, airline schedule architecture, airport infrastructure, and time-of-day compounding </w:t>
      </w:r>
      <w:r w:rsidR="00A93C66">
        <w:rPr>
          <w:rFonts w:cs="Georgia"/>
          <w:color w:val="000000"/>
        </w:rPr>
        <w:t>-</w:t>
      </w:r>
      <w:r>
        <w:rPr>
          <w:rFonts w:cs="Georgia"/>
          <w:color w:val="000000"/>
        </w:rPr>
        <w:t xml:space="preserve"> all of which are forecastable, measurable, and, in varying degrees, manageable. The four hypotheses are supported. The most operationally novel finding is H3: time-of-day compounding produces a delay penalty of comparable magnitude to a severe weather event, and it operates even under clear-sky conditions. This shifts the frame for delay mitigation from purely meteorological intervention toward schedule engineering.</w:t>
      </w:r>
    </w:p>
    <w:p w14:paraId="62378E61" w14:textId="77777777" w:rsidR="00787E35" w:rsidRDefault="00787E35">
      <w:pPr>
        <w:spacing w:after="80"/>
      </w:pPr>
    </w:p>
    <w:p w14:paraId="085DFEED" w14:textId="77777777" w:rsidR="00787E35" w:rsidRDefault="00000000">
      <w:pPr>
        <w:pStyle w:val="Heading2"/>
        <w:spacing w:before="180"/>
      </w:pPr>
      <w:r>
        <w:t>For Airline Schedulers</w:t>
      </w:r>
    </w:p>
    <w:p w14:paraId="19097BDA" w14:textId="77777777" w:rsidR="00787E35" w:rsidRDefault="00000000">
      <w:pPr>
        <w:pStyle w:val="ListParagraph"/>
        <w:numPr>
          <w:ilvl w:val="0"/>
          <w:numId w:val="2"/>
        </w:numPr>
        <w:spacing w:line="264" w:lineRule="auto"/>
      </w:pPr>
      <w:r>
        <w:rPr>
          <w:b/>
          <w:bCs/>
          <w:color w:val="000000"/>
        </w:rPr>
        <w:t xml:space="preserve">Dynamic seasonal block-time extension for ULCCs: </w:t>
      </w:r>
      <w:r>
        <w:rPr>
          <w:color w:val="000000"/>
        </w:rPr>
        <w:t>Inject 15–20 additional scheduled minutes into NYC routes during Q1 (January–February). The 52% greater adverse-weather sensitivity of ULCCs translates into cancellation spikes whose rebooking costs substantially exceed the marginal revenue loss from slightly lower daily aircraft utilization.</w:t>
      </w:r>
    </w:p>
    <w:p w14:paraId="1BE1250D" w14:textId="77777777" w:rsidR="00787E35" w:rsidRDefault="00000000">
      <w:pPr>
        <w:pStyle w:val="ListParagraph"/>
        <w:numPr>
          <w:ilvl w:val="0"/>
          <w:numId w:val="2"/>
        </w:numPr>
        <w:spacing w:line="264" w:lineRule="auto"/>
      </w:pPr>
      <w:r>
        <w:rPr>
          <w:b/>
          <w:bCs/>
          <w:color w:val="000000"/>
        </w:rPr>
        <w:t xml:space="preserve">Morning front-loading of high-yield routes: </w:t>
      </w:r>
      <w:r>
        <w:rPr>
          <w:color w:val="000000"/>
        </w:rPr>
        <w:t xml:space="preserve">The pre-10:00 departure window delivers the system's highest operational reliability. Highest-yield routes, tightest connection banks, and most schedule-sensitive corporate accounts should be </w:t>
      </w:r>
      <w:proofErr w:type="spellStart"/>
      <w:r>
        <w:rPr>
          <w:color w:val="000000"/>
        </w:rPr>
        <w:t>prioritised</w:t>
      </w:r>
      <w:proofErr w:type="spellEnd"/>
      <w:r>
        <w:rPr>
          <w:color w:val="000000"/>
        </w:rPr>
        <w:t xml:space="preserve"> in this window.</w:t>
      </w:r>
    </w:p>
    <w:p w14:paraId="275728CF" w14:textId="77777777" w:rsidR="00787E35" w:rsidRDefault="00000000">
      <w:pPr>
        <w:pStyle w:val="Heading2"/>
        <w:spacing w:before="180"/>
      </w:pPr>
      <w:r>
        <w:lastRenderedPageBreak/>
        <w:t>For Airport Authorities (Port Authority of NY/NJ and FAA)</w:t>
      </w:r>
    </w:p>
    <w:p w14:paraId="55C552CE" w14:textId="77777777" w:rsidR="00787E35" w:rsidRDefault="00000000">
      <w:pPr>
        <w:pStyle w:val="ListParagraph"/>
        <w:numPr>
          <w:ilvl w:val="0"/>
          <w:numId w:val="2"/>
        </w:numPr>
        <w:spacing w:line="264" w:lineRule="auto"/>
      </w:pPr>
      <w:r>
        <w:rPr>
          <w:b/>
          <w:bCs/>
          <w:color w:val="000000"/>
        </w:rPr>
        <w:t xml:space="preserve">Preemptive flow-control at LGA under severe-weather forecasts: </w:t>
      </w:r>
      <w:r>
        <w:rPr>
          <w:color w:val="000000"/>
        </w:rPr>
        <w:t xml:space="preserve">Reducing scheduled hourly operations by 10–15% ahead of forecasted adverse weather introduces sufficient system slack to prevent the accelerating evening cascade that </w:t>
      </w:r>
      <w:proofErr w:type="spellStart"/>
      <w:r>
        <w:rPr>
          <w:color w:val="000000"/>
        </w:rPr>
        <w:t>characterises</w:t>
      </w:r>
      <w:proofErr w:type="spellEnd"/>
      <w:r>
        <w:rPr>
          <w:color w:val="000000"/>
        </w:rPr>
        <w:t xml:space="preserve"> LGA's severe-weather performance profile.</w:t>
      </w:r>
    </w:p>
    <w:p w14:paraId="0E069F3A" w14:textId="77777777" w:rsidR="00787E35" w:rsidRDefault="00000000">
      <w:pPr>
        <w:pStyle w:val="ListParagraph"/>
        <w:numPr>
          <w:ilvl w:val="0"/>
          <w:numId w:val="2"/>
        </w:numPr>
        <w:spacing w:line="264" w:lineRule="auto"/>
      </w:pPr>
      <w:r>
        <w:rPr>
          <w:b/>
          <w:bCs/>
          <w:color w:val="000000"/>
        </w:rPr>
        <w:t xml:space="preserve">Structural audit of EWR ground flow and ATC coordination: </w:t>
      </w:r>
      <w:r>
        <w:rPr>
          <w:color w:val="000000"/>
        </w:rPr>
        <w:t>EWR's underperformance is driven by NAS/ATC-attributed cancellations, not weather. A focused review of departure routing, approach sequencing, and ground delay program calibration at EWR is warranted.</w:t>
      </w:r>
    </w:p>
    <w:p w14:paraId="2F17273F" w14:textId="77777777" w:rsidR="00787E35" w:rsidRDefault="00000000">
      <w:pPr>
        <w:pStyle w:val="Heading2"/>
        <w:spacing w:before="180"/>
      </w:pPr>
      <w:r>
        <w:t>For Corporate Travel Managers and Passengers</w:t>
      </w:r>
    </w:p>
    <w:p w14:paraId="2649780D" w14:textId="77777777" w:rsidR="00787E35" w:rsidRDefault="00000000">
      <w:pPr>
        <w:pStyle w:val="ListParagraph"/>
        <w:numPr>
          <w:ilvl w:val="0"/>
          <w:numId w:val="2"/>
        </w:numPr>
        <w:spacing w:line="264" w:lineRule="auto"/>
      </w:pPr>
      <w:r>
        <w:rPr>
          <w:b/>
          <w:bCs/>
          <w:color w:val="000000"/>
        </w:rPr>
        <w:t xml:space="preserve">Departure time over carrier choice: </w:t>
      </w:r>
      <w:r>
        <w:rPr>
          <w:color w:val="000000"/>
        </w:rPr>
        <w:t>Booking flights before 09:00 is estimated to reduce the probability of severe delay (60+ minutes) by approximately 45% relative to evening equivalents, independent of the carrier selected or the day's weather forecast.</w:t>
      </w:r>
    </w:p>
    <w:p w14:paraId="6B8F4E3B" w14:textId="77777777" w:rsidR="00787E35" w:rsidRDefault="00787E35">
      <w:pPr>
        <w:spacing w:after="120"/>
      </w:pPr>
    </w:p>
    <w:p w14:paraId="73B92085" w14:textId="10551F84" w:rsidR="00787E35" w:rsidRDefault="00000000">
      <w:pPr>
        <w:pBdr>
          <w:top w:val="single" w:sz="4" w:space="4" w:color="C8922A"/>
        </w:pBdr>
        <w:spacing w:before="80"/>
        <w:jc w:val="center"/>
      </w:pPr>
      <w:r>
        <w:rPr>
          <w:rFonts w:cs="Georgia"/>
          <w:i/>
          <w:iCs/>
          <w:color w:val="2E4057"/>
          <w:sz w:val="18"/>
          <w:szCs w:val="18"/>
        </w:rPr>
        <w:t xml:space="preserve">End of Report </w:t>
      </w:r>
      <w:r w:rsidR="00A93C66">
        <w:rPr>
          <w:rFonts w:cs="Georgia"/>
          <w:i/>
          <w:iCs/>
          <w:color w:val="2E4057"/>
          <w:sz w:val="18"/>
          <w:szCs w:val="18"/>
        </w:rPr>
        <w:t>-</w:t>
      </w:r>
      <w:r>
        <w:rPr>
          <w:rFonts w:cs="Georgia"/>
          <w:i/>
          <w:iCs/>
          <w:color w:val="2E4057"/>
          <w:sz w:val="18"/>
          <w:szCs w:val="18"/>
        </w:rPr>
        <w:t xml:space="preserve"> DAT617 Team 7 </w:t>
      </w:r>
      <w:r w:rsidR="00A93C66">
        <w:rPr>
          <w:rFonts w:cs="Georgia"/>
          <w:i/>
          <w:iCs/>
          <w:color w:val="2E4057"/>
          <w:sz w:val="18"/>
          <w:szCs w:val="18"/>
        </w:rPr>
        <w:t>-</w:t>
      </w:r>
      <w:r>
        <w:rPr>
          <w:rFonts w:cs="Georgia"/>
          <w:i/>
          <w:iCs/>
          <w:color w:val="2E4057"/>
          <w:sz w:val="18"/>
          <w:szCs w:val="18"/>
        </w:rPr>
        <w:t xml:space="preserve"> Spring 2026</w:t>
      </w:r>
    </w:p>
    <w:sectPr w:rsidR="00787E35">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4144F" w14:textId="77777777" w:rsidR="00877DC6" w:rsidRDefault="00877DC6">
      <w:r>
        <w:separator/>
      </w:r>
    </w:p>
  </w:endnote>
  <w:endnote w:type="continuationSeparator" w:id="0">
    <w:p w14:paraId="1990EDE5" w14:textId="77777777" w:rsidR="00877DC6" w:rsidRDefault="00877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3C96B" w14:textId="77777777" w:rsidR="00787E35" w:rsidRDefault="00000000">
    <w:pPr>
      <w:jc w:val="center"/>
    </w:pPr>
    <w:r>
      <w:rPr>
        <w:rFonts w:ascii="Arial" w:eastAsia="Arial" w:hAnsi="Arial" w:cs="Arial"/>
        <w:color w:val="888888"/>
        <w:sz w:val="16"/>
        <w:szCs w:val="16"/>
      </w:rPr>
      <w:t>DAT</w:t>
    </w:r>
    <w:proofErr w:type="gramStart"/>
    <w:r>
      <w:rPr>
        <w:rFonts w:ascii="Arial" w:eastAsia="Arial" w:hAnsi="Arial" w:cs="Arial"/>
        <w:color w:val="888888"/>
        <w:sz w:val="16"/>
        <w:szCs w:val="16"/>
      </w:rPr>
      <w:t>617  ·</w:t>
    </w:r>
    <w:proofErr w:type="gramEnd"/>
    <w:r>
      <w:rPr>
        <w:rFonts w:ascii="Arial" w:eastAsia="Arial" w:hAnsi="Arial" w:cs="Arial"/>
        <w:color w:val="888888"/>
        <w:sz w:val="16"/>
        <w:szCs w:val="16"/>
      </w:rPr>
      <w:t xml:space="preserve">  Team </w:t>
    </w:r>
    <w:proofErr w:type="gramStart"/>
    <w:r>
      <w:rPr>
        <w:rFonts w:ascii="Arial" w:eastAsia="Arial" w:hAnsi="Arial" w:cs="Arial"/>
        <w:color w:val="888888"/>
        <w:sz w:val="16"/>
        <w:szCs w:val="16"/>
      </w:rPr>
      <w:t>7  ·</w:t>
    </w:r>
    <w:proofErr w:type="gramEnd"/>
    <w:r>
      <w:rPr>
        <w:rFonts w:ascii="Arial" w:eastAsia="Arial" w:hAnsi="Arial" w:cs="Arial"/>
        <w:color w:val="888888"/>
        <w:sz w:val="16"/>
        <w:szCs w:val="16"/>
      </w:rPr>
      <w:t xml:space="preserve">  Flight Delay </w:t>
    </w:r>
    <w:proofErr w:type="gramStart"/>
    <w:r>
      <w:rPr>
        <w:rFonts w:ascii="Arial" w:eastAsia="Arial" w:hAnsi="Arial" w:cs="Arial"/>
        <w:color w:val="888888"/>
        <w:sz w:val="16"/>
        <w:szCs w:val="16"/>
      </w:rPr>
      <w:t>Analysis  ·</w:t>
    </w:r>
    <w:proofErr w:type="gramEnd"/>
    <w:r>
      <w:rPr>
        <w:rFonts w:ascii="Arial" w:eastAsia="Arial" w:hAnsi="Arial" w:cs="Arial"/>
        <w:color w:val="888888"/>
        <w:sz w:val="16"/>
        <w:szCs w:val="16"/>
      </w:rPr>
      <w:t xml:space="preserve">  Spring 2026    |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A93C66">
      <w:rPr>
        <w:rFonts w:ascii="Arial" w:eastAsia="Arial" w:hAnsi="Arial" w:cs="Arial"/>
        <w:noProof/>
        <w:color w:val="888888"/>
        <w:sz w:val="16"/>
        <w:szCs w:val="16"/>
      </w:rPr>
      <w:t>2</w:t>
    </w:r>
    <w:r>
      <w:rPr>
        <w:rFonts w:ascii="Arial" w:eastAsia="Arial" w:hAnsi="Arial" w:cs="Arial"/>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AEDBB" w14:textId="77777777" w:rsidR="00877DC6" w:rsidRDefault="00877DC6">
      <w:r>
        <w:separator/>
      </w:r>
    </w:p>
  </w:footnote>
  <w:footnote w:type="continuationSeparator" w:id="0">
    <w:p w14:paraId="70655690" w14:textId="77777777" w:rsidR="00877DC6" w:rsidRDefault="00877D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64F82"/>
    <w:multiLevelType w:val="hybridMultilevel"/>
    <w:tmpl w:val="F54E3620"/>
    <w:lvl w:ilvl="0" w:tplc="ED5A19CC">
      <w:start w:val="1"/>
      <w:numFmt w:val="bullet"/>
      <w:lvlText w:val="•"/>
      <w:lvlJc w:val="left"/>
      <w:pPr>
        <w:spacing w:before="40" w:after="40"/>
        <w:ind w:left="560" w:hanging="280"/>
      </w:pPr>
      <w:rPr>
        <w:rFonts w:ascii="Arial" w:eastAsia="Arial" w:hAnsi="Arial" w:cs="Arial"/>
        <w:sz w:val="22"/>
        <w:szCs w:val="22"/>
      </w:rPr>
    </w:lvl>
    <w:lvl w:ilvl="1" w:tplc="1FDA6974">
      <w:numFmt w:val="decimal"/>
      <w:lvlText w:val=""/>
      <w:lvlJc w:val="left"/>
    </w:lvl>
    <w:lvl w:ilvl="2" w:tplc="E8BE43BE">
      <w:numFmt w:val="decimal"/>
      <w:lvlText w:val=""/>
      <w:lvlJc w:val="left"/>
    </w:lvl>
    <w:lvl w:ilvl="3" w:tplc="301E4812">
      <w:numFmt w:val="decimal"/>
      <w:lvlText w:val=""/>
      <w:lvlJc w:val="left"/>
    </w:lvl>
    <w:lvl w:ilvl="4" w:tplc="2B6C2270">
      <w:numFmt w:val="decimal"/>
      <w:lvlText w:val=""/>
      <w:lvlJc w:val="left"/>
    </w:lvl>
    <w:lvl w:ilvl="5" w:tplc="904E94B8">
      <w:numFmt w:val="decimal"/>
      <w:lvlText w:val=""/>
      <w:lvlJc w:val="left"/>
    </w:lvl>
    <w:lvl w:ilvl="6" w:tplc="CBC874FC">
      <w:numFmt w:val="decimal"/>
      <w:lvlText w:val=""/>
      <w:lvlJc w:val="left"/>
    </w:lvl>
    <w:lvl w:ilvl="7" w:tplc="885214CA">
      <w:numFmt w:val="decimal"/>
      <w:lvlText w:val=""/>
      <w:lvlJc w:val="left"/>
    </w:lvl>
    <w:lvl w:ilvl="8" w:tplc="EE7CBE9A">
      <w:numFmt w:val="decimal"/>
      <w:lvlText w:val=""/>
      <w:lvlJc w:val="left"/>
    </w:lvl>
  </w:abstractNum>
  <w:abstractNum w:abstractNumId="1" w15:restartNumberingAfterBreak="0">
    <w:nsid w:val="3B804C6A"/>
    <w:multiLevelType w:val="hybridMultilevel"/>
    <w:tmpl w:val="9286C098"/>
    <w:lvl w:ilvl="0" w:tplc="1062D326">
      <w:start w:val="1"/>
      <w:numFmt w:val="bullet"/>
      <w:lvlText w:val="●"/>
      <w:lvlJc w:val="left"/>
      <w:pPr>
        <w:ind w:left="720" w:hanging="360"/>
      </w:pPr>
    </w:lvl>
    <w:lvl w:ilvl="1" w:tplc="0EE256E4">
      <w:start w:val="1"/>
      <w:numFmt w:val="bullet"/>
      <w:lvlText w:val="○"/>
      <w:lvlJc w:val="left"/>
      <w:pPr>
        <w:ind w:left="1440" w:hanging="360"/>
      </w:pPr>
    </w:lvl>
    <w:lvl w:ilvl="2" w:tplc="04D495A8">
      <w:start w:val="1"/>
      <w:numFmt w:val="bullet"/>
      <w:lvlText w:val="■"/>
      <w:lvlJc w:val="left"/>
      <w:pPr>
        <w:ind w:left="2160" w:hanging="360"/>
      </w:pPr>
    </w:lvl>
    <w:lvl w:ilvl="3" w:tplc="B150C42C">
      <w:start w:val="1"/>
      <w:numFmt w:val="bullet"/>
      <w:lvlText w:val="●"/>
      <w:lvlJc w:val="left"/>
      <w:pPr>
        <w:ind w:left="2880" w:hanging="360"/>
      </w:pPr>
    </w:lvl>
    <w:lvl w:ilvl="4" w:tplc="74881B54">
      <w:start w:val="1"/>
      <w:numFmt w:val="bullet"/>
      <w:lvlText w:val="○"/>
      <w:lvlJc w:val="left"/>
      <w:pPr>
        <w:ind w:left="3600" w:hanging="360"/>
      </w:pPr>
    </w:lvl>
    <w:lvl w:ilvl="5" w:tplc="E68E72D4">
      <w:start w:val="1"/>
      <w:numFmt w:val="bullet"/>
      <w:lvlText w:val="■"/>
      <w:lvlJc w:val="left"/>
      <w:pPr>
        <w:ind w:left="4320" w:hanging="360"/>
      </w:pPr>
    </w:lvl>
    <w:lvl w:ilvl="6" w:tplc="ABBCC912">
      <w:start w:val="1"/>
      <w:numFmt w:val="bullet"/>
      <w:lvlText w:val="●"/>
      <w:lvlJc w:val="left"/>
      <w:pPr>
        <w:ind w:left="5040" w:hanging="360"/>
      </w:pPr>
    </w:lvl>
    <w:lvl w:ilvl="7" w:tplc="72441B7A">
      <w:start w:val="1"/>
      <w:numFmt w:val="bullet"/>
      <w:lvlText w:val="●"/>
      <w:lvlJc w:val="left"/>
      <w:pPr>
        <w:ind w:left="5760" w:hanging="360"/>
      </w:pPr>
    </w:lvl>
    <w:lvl w:ilvl="8" w:tplc="5BBC9FA0">
      <w:start w:val="1"/>
      <w:numFmt w:val="bullet"/>
      <w:lvlText w:val="●"/>
      <w:lvlJc w:val="left"/>
      <w:pPr>
        <w:ind w:left="6480" w:hanging="360"/>
      </w:pPr>
    </w:lvl>
  </w:abstractNum>
  <w:num w:numId="1" w16cid:durableId="633406865">
    <w:abstractNumId w:val="1"/>
    <w:lvlOverride w:ilvl="0">
      <w:startOverride w:val="1"/>
    </w:lvlOverride>
  </w:num>
  <w:num w:numId="2" w16cid:durableId="661203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E35"/>
    <w:rsid w:val="000F4735"/>
    <w:rsid w:val="00787E35"/>
    <w:rsid w:val="00877DC6"/>
    <w:rsid w:val="00A93C6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4CFF5417"/>
  <w15:docId w15:val="{BD83C800-33B0-1241-9289-E568F571E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pBdr>
        <w:bottom w:val="single" w:sz="4" w:space="2" w:color="C8922A"/>
      </w:pBdr>
      <w:spacing w:before="280" w:after="120"/>
      <w:outlineLvl w:val="0"/>
    </w:pPr>
    <w:rPr>
      <w:rFonts w:ascii="Arial" w:eastAsia="Arial" w:hAnsi="Arial" w:cs="Arial"/>
      <w:b/>
      <w:bCs/>
      <w:color w:val="1F3864"/>
      <w:sz w:val="26"/>
      <w:szCs w:val="26"/>
    </w:rPr>
  </w:style>
  <w:style w:type="paragraph" w:styleId="Heading2">
    <w:name w:val="heading 2"/>
    <w:uiPriority w:val="9"/>
    <w:unhideWhenUsed/>
    <w:qFormat/>
    <w:pPr>
      <w:spacing w:before="200" w:after="80"/>
      <w:outlineLvl w:val="1"/>
    </w:pPr>
    <w:rPr>
      <w:rFonts w:ascii="Arial" w:eastAsia="Arial" w:hAnsi="Arial" w:cs="Arial"/>
      <w:b/>
      <w:bCs/>
      <w:color w:val="2E405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2632</Words>
  <Characters>15004</Characters>
  <Application>Microsoft Office Word</Application>
  <DocSecurity>0</DocSecurity>
  <Lines>125</Lines>
  <Paragraphs>35</Paragraphs>
  <ScaleCrop>false</ScaleCrop>
  <Company/>
  <LinksUpToDate>false</LinksUpToDate>
  <CharactersWithSpaces>17601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Jikkar, Mr. Chintan Samirbhai</cp:lastModifiedBy>
  <cp:revision>2</cp:revision>
  <dcterms:created xsi:type="dcterms:W3CDTF">2026-05-12T17:30:00Z</dcterms:created>
  <dcterms:modified xsi:type="dcterms:W3CDTF">2026-05-13T07:25:00Z</dcterms:modified>
</cp:coreProperties>
</file>