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E244BC1" w14:textId="77777777" w:rsidR="009303D9" w:rsidRPr="008B6524" w:rsidRDefault="009303D9" w:rsidP="008B6524">
      <w:pPr>
        <w:pStyle w:val="papertitle"/>
        <w:spacing w:before="5pt" w:beforeAutospacing="1" w:after="5pt" w:afterAutospacing="1"/>
        <w:rPr>
          <w:kern w:val="48"/>
        </w:rPr>
      </w:pPr>
      <w:r>
        <w:rPr>
          <w:kern w:val="48"/>
        </w:rPr>
        <w:t>A Data-Driven Multivariate Scoring Framework for Peak-Hour Declaration in the Northern Region Using Net-Load, Market, and Weather Signals</w:t>
      </w:r>
    </w:p>
    <w:p w14:paraId="417AFBBD" w14:textId="77777777" w:rsidR="009303D9" w:rsidRDefault="00D7522C" w:rsidP="008B6524">
      <w:pPr>
        <w:pStyle w:val="Author"/>
        <w:spacing w:before="5pt" w:beforeAutospacing="1" w:after="5pt" w:afterAutospacing="1"/>
        <w:rPr>
          <w:sz w:val="16"/>
          <w:szCs w:val="16"/>
        </w:rPr>
      </w:pPr>
      <w:r>
        <w:rPr>
          <w:sz w:val="16"/>
          <w:szCs w:val="16"/>
        </w:rPr>
        <w:t>*Note: Sub-titles are not captured in Xplore and should not be used</w:t>
      </w:r>
    </w:p>
    <w:p w14:paraId="26184639" w14:textId="77777777" w:rsidR="00D7522C" w:rsidRDefault="00D7522C" w:rsidP="003B4E04">
      <w:pPr>
        <w:pStyle w:val="Author"/>
        <w:spacing w:before="5pt" w:beforeAutospacing="1" w:after="5pt" w:afterAutospacing="1" w:line="6pt" w:lineRule="auto"/>
        <w:rPr>
          <w:sz w:val="16"/>
          <w:szCs w:val="16"/>
        </w:rPr>
      </w:pPr>
    </w:p>
    <w:p w14:paraId="0C4AB3E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8E46B6D" w14:textId="77777777" w:rsidR="00BD670B" w:rsidRDefault="009303D9" w:rsidP="00BD670B">
      <w:pPr>
        <w:pStyle w:val="Author"/>
        <w:spacing w:before="5pt" w:beforeAutospacing="1"/>
        <w:rPr>
          <w:sz w:val="18"/>
          <w:szCs w:val="18"/>
        </w:rPr>
      </w:pPr>
      <w:r>
        <w:rPr>
          <w:sz w:val="18"/>
          <w:szCs w:val="18"/>
        </w:rPr>
        <w:t>line 1: 1</w:t>
      </w:r>
      <w:r>
        <w:rPr>
          <w:sz w:val="18"/>
          <w:szCs w:val="18"/>
          <w:vertAlign w:val="superscript"/>
        </w:rPr>
        <w:t>st</w:t>
      </w:r>
      <w:r>
        <w:rPr>
          <w:sz w:val="18"/>
          <w:szCs w:val="18"/>
        </w:rPr>
        <w:t xml:space="preserve"> Given Name Surname </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w14:paraId="5DFA0B83" w14:textId="77777777" w:rsidR="001A3B3D" w:rsidRPr="00F847A6" w:rsidRDefault="00447BB9" w:rsidP="007B6DDA">
      <w:pPr>
        <w:pStyle w:val="Author"/>
        <w:spacing w:before="5pt" w:beforeAutospacing="1"/>
        <w:rPr>
          <w:sz w:val="18"/>
          <w:szCs w:val="18"/>
        </w:rPr>
      </w:pPr>
      <w:r>
        <w:rPr>
          <w:sz w:val="18"/>
          <w:szCs w:val="18"/>
        </w:rPr>
        <w:t>line 1: 4</w:t>
      </w:r>
      <w:r>
        <w:rPr>
          <w:sz w:val="18"/>
          <w:szCs w:val="18"/>
          <w:vertAlign w:val="superscript"/>
        </w:rPr>
        <w:t>th</w:t>
      </w:r>
      <w:r>
        <w:rPr>
          <w:sz w:val="18"/>
          <w:szCs w:val="18"/>
        </w:rPr>
        <w:t xml:space="preserve"> Given Name Surname</w:t>
      </w:r>
      <w:r>
        <w:rPr>
          <w:sz w:val="18"/>
          <w:szCs w:val="18"/>
        </w:rPr>
        <w:br/>
        <w:t xml:space="preserve">line 2: </w:t>
      </w:r>
      <w:r>
        <w:rPr>
          <w:i/>
          <w:sz w:val="18"/>
          <w:szCs w:val="18"/>
        </w:rPr>
        <w:t>dept. name of organization</w:t>
      </w:r>
      <w:r>
        <w:rPr>
          <w:sz w:val="18"/>
          <w:szCs w:val="18"/>
        </w:rPr>
        <w:br/>
      </w:r>
      <w:r>
        <w:rPr>
          <w:i/>
          <w:sz w:val="18"/>
          <w:szCs w:val="18"/>
        </w:rP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rPr>
          <w:sz w:val="18"/>
          <w:szCs w:val="18"/>
        </w:rPr>
        <w:br w:type="column"/>
      </w:r>
      <w:r>
        <w:rPr>
          <w:sz w:val="18"/>
          <w:szCs w:val="18"/>
        </w:rPr>
        <w:t>line 1: 2</w:t>
      </w:r>
      <w:r>
        <w:rPr>
          <w:sz w:val="18"/>
          <w:szCs w:val="18"/>
          <w:vertAlign w:val="superscript"/>
        </w:rPr>
        <w:t>nd</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w14:paraId="5C989567" w14:textId="77777777" w:rsidR="001A3B3D" w:rsidRPr="00F847A6" w:rsidRDefault="00447BB9" w:rsidP="00447BB9">
      <w:pPr>
        <w:pStyle w:val="Author"/>
        <w:spacing w:before="5pt" w:beforeAutospacing="1"/>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rPr>
          <w:sz w:val="18"/>
          <w:szCs w:val="18"/>
        </w:rPr>
        <w:br w:type="column"/>
      </w:r>
      <w:r>
        <w:rPr>
          <w:sz w:val="18"/>
          <w:szCs w:val="18"/>
        </w:rPr>
        <w:t>line 1: 3</w:t>
      </w:r>
      <w:r>
        <w:rPr>
          <w:sz w:val="18"/>
          <w:szCs w:val="18"/>
          <w:vertAlign w:val="superscript"/>
        </w:rPr>
        <w:t>rd</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w14:paraId="64A87113" w14:textId="77777777" w:rsidR="00447BB9" w:rsidRDefault="00447BB9" w:rsidP="00447BB9">
      <w:pPr>
        <w:pStyle w:val="Author"/>
        <w:spacing w:before="5pt" w:beforeAutospacing="1"/>
      </w:pPr>
      <w:r>
        <w:rPr>
          <w:sz w:val="18"/>
          <w:szCs w:val="18"/>
        </w:rPr>
        <w:t>line 1: 6</w:t>
      </w:r>
      <w:r>
        <w:rPr>
          <w:sz w:val="18"/>
          <w:szCs w:val="18"/>
          <w:vertAlign w:val="superscript"/>
        </w:rPr>
        <w:t>th</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t xml:space="preserve"> </w:t>
      </w:r>
    </w:p>
    <w:p w14:paraId="2D06CBE2"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78C858BE"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9016157" w14:textId="77777777" w:rsidR="009A39D6" w:rsidRDefault="00000000">
      <w:pPr>
        <w:pStyle w:val="Abstract"/>
        <w:rPr>
          <w:i/>
          <w:iCs/>
        </w:rPr>
      </w:pPr>
      <w:r>
        <w:rPr>
          <w:i/>
          <w:iCs/>
        </w:rPr>
        <w:t>Abstract</w:t>
      </w:r>
      <w:r>
        <w:t>—Accurate declaration of peak-demand time blocks is a core requirement for power-system operation, procurement, and market strategy. Under the CERC (Terms and Conditions of Tariff) Regulations, 2024, the concerned Regional Load Despatch Centre (RLDC) must declare the daily peak hours at least one week in advance and align them with the region’s actual peak to the maximum extent possible. This paper presents a data-driven framework that supports this obligation by declaring the peak-hour window for a future month in the Northern Region (NR) at the regulatory fifteen-minute time-block resolution. The framework fuses three signals that jointly govern system stress: electrical demand, represented by net NR load; short-term scarcity, represented by Real-Time Market (RTM) and Day-Ahead Market (DAM) prices together with power-exchange bid and cleared volumes; and weather-driven demand, represented by a station-weighted composite of temperature and relative humidity. Net load is forecast with gradient-boosted regression trees, while RTM price is forecast with a three-regime hurdle-quantile ensemble that decomposes price into a leak-free seasonal climatology plus a learned deviation, mixes five quantile regressors through learned spike and crash probabilities, and calibrates its prediction band by split-conformal inference. The forecasts are combined into a robust, median-based composite block score in which the interaction of net load and RTM price is the dominant term. Candidate windows are restricted to the post-ramp evening period, aggregated across the month with a recency weighting that favors the more reliable near-horizon days, and the highest-scoring window of the mandated duration, continuous or split, is declared. The models are assessed by chronological hold-out and expanding-window walk-forward validation.</w:t>
      </w:r>
    </w:p>
    <w:p w14:paraId="05002B3D" w14:textId="77777777" w:rsidR="009303D9" w:rsidRPr="004D72B5" w:rsidRDefault="004D72B5" w:rsidP="00972203">
      <w:pPr>
        <w:pStyle w:val="Keywords"/>
      </w:pPr>
      <w:r>
        <w:t>Keywords—peak load, net-load forecasting, real-time market price, gradient boosting, quantile regression, conformal prediction, demand-side management, Northern Region grid</w:t>
      </w:r>
    </w:p>
    <w:p w14:paraId="72877476" w14:textId="77777777" w:rsidR="009303D9" w:rsidRPr="00D632BE" w:rsidRDefault="009303D9" w:rsidP="006B6B66">
      <w:pPr>
        <w:pStyle w:val="Heading1"/>
      </w:pPr>
      <w:r>
        <w:t>Introduction</w:t>
      </w:r>
    </w:p>
    <w:p w14:paraId="518BC0A3" w14:textId="77777777" w:rsidR="009303D9" w:rsidRDefault="00214B61" w:rsidP="00E7596C">
      <w:pPr>
        <w:pStyle w:val="BodyText"/>
      </w:pPr>
      <w:r>
        <w:t xml:space="preserve">Accurate identification of peak-demand time blocks is an important requirement for power system operation, market strategy, procurement planning, and demand-side assessment. In the context of the Northern Region (NR), system demand </w:t>
      </w:r>
      <w:r>
        <w:t>exhibits strong intra-day, seasonal, and weather-dependent variation, while market prices in the Day-Ahead Market (DAM) and Real-Time Market (RTM) provide an additional economic signal of system tightness and short-term scarcity. Peak-hour blocks are therefore not solely a function of load magnitude, but rather emerge from the combined interaction of system demand, market conditions, and prevailing meteorological drivers.</w:t>
      </w:r>
    </w:p>
    <w:p w14:paraId="796A0B19" w14:textId="77777777" w:rsidR="00214B61" w:rsidRDefault="00214B61" w:rsidP="00E7596C">
      <w:pPr>
        <w:pStyle w:val="BodyText"/>
      </w:pPr>
      <w:r>
        <w:t>To address this, a data-driven peak block scoring framework has been developed for identification and ranking of probable high-demand 15-minute time blocks. The model integrates Net NR Demand, DAM prices, RTM prices, ambient temperature, and relative humidity to generate a block-wise score that reflects the likelihood or intensity of peak conditions. The purpose of the framework is not merely to forecast demand in isolation, but to identify the most relevant peak-hour blocks by jointly evaluating electrical demand behaviours, market response, and weather-linked stress on the system.</w:t>
      </w:r>
    </w:p>
    <w:p w14:paraId="7438AEC5" w14:textId="77777777" w:rsidR="00214B61" w:rsidRPr="005B520E" w:rsidRDefault="00214B61" w:rsidP="00E7596C">
      <w:pPr>
        <w:pStyle w:val="BodyText"/>
      </w:pPr>
      <w:r>
        <w:t>The developed methodology is intended to support operational analysis and strategic planning by providing a structured means to rank and isolate those time blocks that are most likely to correspond to peak system stress. The graphical outputs and associated results derived from the model can subsequently be used for interpretation of temporal demand patterns, seasonal peak behaviour, and the role of market and weather variables in shaping peak-period occurrence.</w:t>
      </w:r>
    </w:p>
    <w:p w14:paraId="3D95C2F6" w14:textId="77777777" w:rsidR="009A39D6" w:rsidRDefault="00000000">
      <w:pPr>
        <w:pStyle w:val="Heading1"/>
      </w:pPr>
      <w:r>
        <w:t>Regulatory Context and Requirements</w:t>
      </w:r>
    </w:p>
    <w:p w14:paraId="356539E6" w14:textId="41D32504" w:rsidR="009A39D6" w:rsidRDefault="00000000">
      <w:pPr>
        <w:pStyle w:val="BodyText"/>
      </w:pPr>
      <w:r>
        <w:t>The identification of peak hours in this work is not solely an analytical exercise; it responds to a specific obligation placed on the Regional Load Despatch Centre (RLDC) by the Central Electricity Regulatory Commission (CERC), and it is bounded by the settlement conventions of the Grid Code. These instruments fix both the target of the framework and the constraints under which it must operate.</w:t>
      </w:r>
    </w:p>
    <w:p w14:paraId="076B00ED" w14:textId="77777777" w:rsidR="009A39D6" w:rsidRDefault="00000000">
      <w:pPr>
        <w:pStyle w:val="Heading2"/>
      </w:pPr>
      <w:r>
        <w:lastRenderedPageBreak/>
        <w:t>Obligation to Declare Peak Hours</w:t>
      </w:r>
    </w:p>
    <w:p w14:paraId="2F0F4BCE" w14:textId="77777777" w:rsidR="009A39D6" w:rsidRDefault="00000000">
      <w:pPr>
        <w:pStyle w:val="BodyText"/>
      </w:pPr>
      <w:r>
        <w:t>Regulation 62(3) of the CERC (Terms and Conditions of Tariff) Regulations, 2024 [12] fixes the number of Peak and Off-Peak hours in a day at four and twenty respectively, and provides that the hours of the Peak and Off-Peak periods during a day shall be declared by the concerned RLDC at least a week in advance. A proviso requires the RLDC, after duly considering the comments of the concerned stakeholders, to declare the peak hours so as to coincide with the majority of the region’s actual peak hours to the maximum extent possible; where a generating station’s beneficiaries are spread across regions, the peak hours follow the region in which the majority of its beneficiaries, by percentage of allocation, are located. The duration of the declared peak depends on the category of generating station: Regulation 62(3) sets it at four hours per day for thermal generating stations, whereas for hydro generating stations Regulation 65 defines the declared capacity as the capability to deliver, at peak, for at least three hours, certified by the nodal load despatch centre, which corresponds to a three-hour peak window.</w:t>
      </w:r>
    </w:p>
    <w:p w14:paraId="78DBF127" w14:textId="77777777" w:rsidR="009A39D6" w:rsidRDefault="00000000">
      <w:pPr>
        <w:pStyle w:val="BodyText"/>
      </w:pPr>
      <w:r>
        <w:t>This declaration has direct commercial weight. The capacity charge of a thermal station is recovered in two parts, one for the Peak Hours and one for the Off-Peak Hours of the month, and plant availability is assessed separately for each period. A declaration that fails to track the true peak therefore misprices availability, which is why the regulation demands an advance, evidence-based, and stakeholder-tested determination rather than an arbitrary choice of hours.</w:t>
      </w:r>
    </w:p>
    <w:p w14:paraId="28BF64C6" w14:textId="77777777" w:rsidR="009A39D6" w:rsidRDefault="00000000">
      <w:pPr>
        <w:pStyle w:val="Heading2"/>
      </w:pPr>
      <w:r>
        <w:t>Fifteen-Minute Time Block and Net-Load Basis</w:t>
      </w:r>
    </w:p>
    <w:p w14:paraId="5189C04B" w14:textId="77777777" w:rsidR="009A39D6" w:rsidRDefault="00000000">
      <w:pPr>
        <w:pStyle w:val="BodyText"/>
      </w:pPr>
      <w:r>
        <w:t>Regulation 127 of the CERC (Indian Electricity Grid Code) Regulations, 2023 [13] defines the Time Block as the interval for which meters record electrical parameters, presently fifteen minutes, with the first block starting at 00:00 hours. This is the resolution adopted throughout the present framework, giving ninety-six blocks per day. The same Grid Code, in its operational-planning provisions, requires demand to be estimated at time-block granularity and on a net-load basis, that is, load net of embedded generation such as rooftop solar and other distributed resources, and it distinguishes the morning-peak, evening-peak, day-shoulder and night-off-peak periods of the day. These provisions directly motivate the framework’s use of net NR demand and its focus on the evening and night ramp.</w:t>
      </w:r>
    </w:p>
    <w:p w14:paraId="2CA2D836" w14:textId="77777777" w:rsidR="009A39D6" w:rsidRDefault="00000000">
      <w:pPr>
        <w:pStyle w:val="Heading2"/>
      </w:pPr>
      <w:r>
        <w:t>Implications for the Framework</w:t>
      </w:r>
    </w:p>
    <w:p w14:paraId="7E4D56B8" w14:textId="77777777" w:rsidR="009A39D6" w:rsidRDefault="00000000">
      <w:pPr>
        <w:pStyle w:val="BodyText"/>
      </w:pPr>
      <w:r>
        <w:t>Taken together, the two instruments determine what the framework must produce: a forward declaration, made in advance of the operating period, at fifteen-minute resolution, on a net-load basis, yielding a fixed-duration daily peak window that tracks the region’s realized peak as closely as possible. The framework is built to meet these requirements. It forecasts the target period rather than reacting to it, so the declaration can be issued ahead of time; it operates on net NR demand at the regulatory time-block resolution; its window length is a configurable parameter set to the mandated declaration duration for the applicable category of generating station; and its scoring is tuned to reproduce the region’s genuine peak rather than a fixed clock time or a bare demand threshold.</w:t>
      </w:r>
    </w:p>
    <w:p w14:paraId="7804DF81" w14:textId="77777777" w:rsidR="009303D9" w:rsidRPr="006B6B66" w:rsidRDefault="00214B61" w:rsidP="006B6B66">
      <w:pPr>
        <w:pStyle w:val="Heading1"/>
      </w:pPr>
      <w:r>
        <w:t>Objective of the Model</w:t>
      </w:r>
    </w:p>
    <w:p w14:paraId="6DFF5212" w14:textId="77777777" w:rsidR="009303D9" w:rsidRDefault="00214B61" w:rsidP="00ED0149">
      <w:pPr>
        <w:pStyle w:val="Heading2"/>
      </w:pPr>
      <w:r>
        <w:t>Hypothesis</w:t>
      </w:r>
    </w:p>
    <w:p w14:paraId="76FC6044" w14:textId="77777777" w:rsidR="009303D9" w:rsidRDefault="00214B61" w:rsidP="00E7596C">
      <w:pPr>
        <w:pStyle w:val="BodyText"/>
      </w:pPr>
      <w:r>
        <w:t>The primary objective of the developed model is to identify and score 15-minute time blocks that are most likely to represent peak-hour conditions in the Northern Region. The model is designed around the hypothesis that peak blocks are influenced by a combination of:</w:t>
      </w:r>
    </w:p>
    <w:p w14:paraId="4B0607EA" w14:textId="77777777" w:rsidR="00214B61" w:rsidRDefault="002C5DF4" w:rsidP="00214B61">
      <w:pPr>
        <w:pStyle w:val="BodyText"/>
        <w:numPr>
          <w:ilvl w:val="0"/>
          <w:numId w:val="25"/>
        </w:numPr>
      </w:pPr>
      <w:r>
        <w:t>Electrical demand conditions, represented by Net NR Demand</w:t>
      </w:r>
    </w:p>
    <w:p w14:paraId="416A758C" w14:textId="77777777" w:rsidR="002C5DF4" w:rsidRDefault="002C5DF4" w:rsidP="00214B61">
      <w:pPr>
        <w:pStyle w:val="BodyText"/>
        <w:numPr>
          <w:ilvl w:val="0"/>
          <w:numId w:val="25"/>
        </w:numPr>
      </w:pPr>
      <w:r>
        <w:t>Short-term market stress and scarcity signals, represented by RTM and DAM prices and Buy , Sell Volumes in Power exchange</w:t>
      </w:r>
    </w:p>
    <w:p w14:paraId="2C2C5806" w14:textId="77777777" w:rsidR="002C5DF4" w:rsidRPr="005B520E" w:rsidRDefault="002C5DF4" w:rsidP="00214B61">
      <w:pPr>
        <w:pStyle w:val="BodyText"/>
        <w:numPr>
          <w:ilvl w:val="0"/>
          <w:numId w:val="25"/>
        </w:numPr>
      </w:pPr>
      <w:r>
        <w:t>Weather-driven demand behaviour, represented by temperature and relative humidity of load centers</w:t>
      </w:r>
    </w:p>
    <w:p w14:paraId="3C39A1B1" w14:textId="77777777" w:rsidR="009303D9" w:rsidRPr="005B520E" w:rsidRDefault="002C5DF4" w:rsidP="00ED0149">
      <w:pPr>
        <w:pStyle w:val="Heading2"/>
      </w:pPr>
      <w:r>
        <w:t>Modelling Objectives</w:t>
      </w:r>
    </w:p>
    <w:p w14:paraId="09FCD008" w14:textId="77777777" w:rsidR="002C5DF4" w:rsidRDefault="002C5DF4" w:rsidP="002C5DF4">
      <w:pPr>
        <w:pStyle w:val="BodyText"/>
      </w:pPr>
      <w:r>
        <w:t xml:space="preserve">According to hypothesis, the model seeks to answer the following operational question: </w:t>
      </w:r>
    </w:p>
    <w:p w14:paraId="42C57662" w14:textId="77777777" w:rsidR="002C5DF4" w:rsidRPr="002C5DF4" w:rsidRDefault="002C5DF4" w:rsidP="002C5DF4">
      <w:pPr>
        <w:pStyle w:val="BodyText"/>
        <w:rPr>
          <w:i/>
          <w:iCs/>
        </w:rPr>
      </w:pPr>
      <w:r>
        <w:rPr>
          <w:i/>
          <w:iCs/>
        </w:rPr>
        <w:t>“Given the prevailing demand, market, and weather conditions, which 15-minute blocks are most likely to correspond to the desired or significant peak-demand periods?”</w:t>
      </w:r>
    </w:p>
    <w:p w14:paraId="2C5B5F46" w14:textId="77777777" w:rsidR="002C5DF4" w:rsidRDefault="002C5DF4" w:rsidP="002C5DF4">
      <w:pPr>
        <w:pStyle w:val="BodyText"/>
      </w:pPr>
      <w:r>
        <w:t xml:space="preserve"> Unlike a simple threshold-based method that selects peak blocks solely on the basis of the highest demand values, the present framework adopts a multivariate scoring approach. This enables the model to account for situations where: </w:t>
      </w:r>
    </w:p>
    <w:p w14:paraId="4862D9D2" w14:textId="77777777" w:rsidR="002C5DF4" w:rsidRDefault="002C5DF4" w:rsidP="002C5DF4">
      <w:pPr>
        <w:pStyle w:val="BodyText"/>
        <w:numPr>
          <w:ilvl w:val="0"/>
          <w:numId w:val="26"/>
        </w:numPr>
      </w:pPr>
      <w:r>
        <w:t xml:space="preserve">high demand coincides with elevated market prices, indicating system tightness, </w:t>
      </w:r>
    </w:p>
    <w:p w14:paraId="134B1B84" w14:textId="77777777" w:rsidR="002C5DF4" w:rsidRDefault="002C5DF4" w:rsidP="002C5DF4">
      <w:pPr>
        <w:pStyle w:val="BodyText"/>
        <w:numPr>
          <w:ilvl w:val="0"/>
          <w:numId w:val="26"/>
        </w:numPr>
      </w:pPr>
      <w:r>
        <w:t>weather conditions intensify demand behaviour despite demand not being the absolute daily maximum,</w:t>
      </w:r>
    </w:p>
    <w:p w14:paraId="436B62B5" w14:textId="77777777" w:rsidR="002C5DF4" w:rsidRDefault="002C5DF4" w:rsidP="002C5DF4">
      <w:pPr>
        <w:pStyle w:val="BodyText"/>
        <w:numPr>
          <w:ilvl w:val="0"/>
          <w:numId w:val="26"/>
        </w:numPr>
      </w:pPr>
      <w:r>
        <w:t>market and meteorological variables jointly reinforce the probability of a block being operationally significant.</w:t>
      </w:r>
    </w:p>
    <w:p w14:paraId="09B685BC" w14:textId="77777777" w:rsidR="009303D9" w:rsidRPr="005B520E" w:rsidRDefault="002C5DF4" w:rsidP="002C5DF4">
      <w:pPr>
        <w:pStyle w:val="BodyText"/>
        <w:ind w:start="14.40pt" w:firstLine="0pt"/>
      </w:pPr>
      <w:r>
        <w:t xml:space="preserve"> Thus, the model is intended to provide a more informative and context-aware identification of peak blocks than a purely demand-based ranking.</w:t>
      </w:r>
    </w:p>
    <w:p w14:paraId="3A3537D1" w14:textId="77777777" w:rsidR="009303D9" w:rsidRDefault="002414A5" w:rsidP="006B6B66">
      <w:pPr>
        <w:pStyle w:val="Heading1"/>
      </w:pPr>
      <w:r>
        <w:t>Conceptual Basis of the Framework</w:t>
      </w:r>
    </w:p>
    <w:p w14:paraId="26AB2172" w14:textId="77777777" w:rsidR="00D7522C" w:rsidRDefault="002414A5" w:rsidP="00E7596C">
      <w:pPr>
        <w:pStyle w:val="BodyText"/>
        <w:rPr>
          <w:lang w:val="en-US"/>
        </w:rPr>
      </w:pPr>
      <w:r>
        <w:rPr>
          <w:lang w:val="en-US"/>
        </w:rPr>
        <w:t xml:space="preserve">The framework is based on the premise that </w:t>
      </w:r>
      <w:r>
        <w:rPr>
          <w:b/>
          <w:bCs/>
          <w:lang w:val="en-US"/>
        </w:rPr>
        <w:t>peak load occurrence is a composite phenomenon</w:t>
      </w:r>
      <w:r>
        <w:rPr>
          <w:lang w:val="en-US"/>
        </w:rPr>
        <w:t xml:space="preserve"> rather than a single-variable event. Each of the selected input variables captures a distinct dimension of system behavior:</w:t>
      </w:r>
    </w:p>
    <w:p w14:paraId="0E2EE80F" w14:textId="77777777" w:rsidR="002414A5" w:rsidRDefault="002414A5" w:rsidP="002414A5">
      <w:pPr>
        <w:pStyle w:val="Heading2"/>
      </w:pPr>
      <w:r>
        <w:t>Net NR Demand</w:t>
      </w:r>
    </w:p>
    <w:p w14:paraId="38895287" w14:textId="77777777" w:rsidR="002414A5" w:rsidRDefault="002414A5" w:rsidP="002414A5">
      <w:pPr>
        <w:pStyle w:val="BodyText"/>
        <w:rPr>
          <w:lang w:val="en-US"/>
        </w:rPr>
      </w:pPr>
      <w:r>
        <w:rPr>
          <w:lang w:val="en-US"/>
        </w:rPr>
        <w:t>Net NR Demand serves as the principal indicator of aggregate system loading in the Northern Region. Since peak-hour identification fundamentally concerns periods of elevated system requirement, Net NR Demand forms the backbone of the scoring model. Higher demand levels generally indicate increased system stress and therefore contribute positively to the likelihood of a block being classified as a peak block. Consistent with the demand-estimation provisions of the Grid Code [13], demand is taken here on a net-load basis, namely regional load net of embedded solar and wind generation, so that the quantity scored reflects the load actually incident on the grid.</w:t>
      </w:r>
    </w:p>
    <w:p w14:paraId="072FDF09" w14:textId="77777777" w:rsidR="002414A5" w:rsidRDefault="002414A5" w:rsidP="002414A5">
      <w:pPr>
        <w:pStyle w:val="BodyText"/>
      </w:pPr>
      <w:r>
        <w:rPr>
          <w:lang w:val="en-US"/>
        </w:rPr>
        <w:lastRenderedPageBreak/>
        <w:t>However, demand alone may not always be sufficient to capture operational significance. For instance, two blocks with similar demand values may differ in their market response or weather conditions, making one block more critical than the other from a system or commercial standpoint.</w:t>
      </w:r>
    </w:p>
    <w:p w14:paraId="528C1584" w14:textId="77777777" w:rsidR="002414A5" w:rsidRPr="005B520E" w:rsidRDefault="002414A5" w:rsidP="002414A5">
      <w:pPr>
        <w:pStyle w:val="Heading2"/>
      </w:pPr>
      <w:r>
        <w:t>DAM Prices</w:t>
      </w:r>
    </w:p>
    <w:p w14:paraId="63223A19" w14:textId="77777777" w:rsidR="002414A5" w:rsidRDefault="002414A5" w:rsidP="002414A5">
      <w:pPr>
        <w:pStyle w:val="BodyText"/>
      </w:pPr>
      <w:r>
        <w:t xml:space="preserve">The Day-Ahead Market (DAM) price provides a forward market-based signal of expected scarcity and system tightness. High DAM prices often reflect anticipated stress in the power balance, tighter supply-demand conditions, or stronger market competition for energy procurement. Inclusion of DAM prices therefore allows the model to incorporate the economic manifestation of demand stress, rather than relying solely on physical load magnitude. </w:t>
      </w:r>
    </w:p>
    <w:p w14:paraId="331BC66C" w14:textId="77777777" w:rsidR="002414A5" w:rsidRDefault="002414A5" w:rsidP="002414A5">
      <w:pPr>
        <w:pStyle w:val="BodyText"/>
      </w:pPr>
      <w:r>
        <w:t>In the context of peak block scoring, DAM price acts as a forward-looking or system-value indicator that helps distinguish blocks that are not only high in demand but also commercially significant.</w:t>
      </w:r>
    </w:p>
    <w:p w14:paraId="4B97E1F1" w14:textId="77777777" w:rsidR="009303D9" w:rsidRDefault="002A3C81" w:rsidP="00ED0149">
      <w:pPr>
        <w:pStyle w:val="Heading2"/>
      </w:pPr>
      <w:r>
        <w:t>RTM Prices</w:t>
      </w:r>
    </w:p>
    <w:p w14:paraId="1CC3CA0C" w14:textId="77777777" w:rsidR="009303D9" w:rsidRDefault="002A3C81" w:rsidP="00E7596C">
      <w:pPr>
        <w:pStyle w:val="BodyText"/>
      </w:pPr>
      <w:r>
        <w:t>The Real-Time Market (RTM) price represents a near-real-time market response to actual system conditions. Since RTM prices are more closely aligned with instantaneous or short-term balancing requirements, they provide a valuable signal of immediate system stress, short-term scarcity, or deviations from expected demand-supply conditions.</w:t>
      </w:r>
    </w:p>
    <w:p w14:paraId="1E2AECA1" w14:textId="77777777" w:rsidR="002A3C81" w:rsidRPr="005B520E" w:rsidRDefault="002A3C81" w:rsidP="00E7596C">
      <w:pPr>
        <w:pStyle w:val="BodyText"/>
      </w:pPr>
      <w:r>
        <w:t>Incorporating RTM prices helps the model capture the real-time economic intensity of a block, thereby improving identification of those periods where operational conditions were genuinely tight rather than merely forecast to be tight.</w:t>
      </w:r>
    </w:p>
    <w:p w14:paraId="6FC48DCA" w14:textId="77777777" w:rsidR="009303D9" w:rsidRDefault="002A3C81" w:rsidP="00ED0149">
      <w:pPr>
        <w:pStyle w:val="Heading2"/>
      </w:pPr>
      <w:r>
        <w:t>Trade Volume</w:t>
      </w:r>
    </w:p>
    <w:p w14:paraId="62806C27" w14:textId="77777777" w:rsidR="009A39D6" w:rsidRDefault="00000000">
      <w:pPr>
        <w:pStyle w:val="BodyText"/>
      </w:pPr>
      <w:r>
        <w:t>Power-exchange trade volumes provide a complementary, quantity-based view of the same market tightness that prices summarize. For each fifteen-minute block the framework uses the purchase (buy) bid volume, the sell bid volume, the market cleared volume (MCV), and the final scheduled volume, for both the DAM and the RTM segments. Large purchase bids relative to available sell bids indicate aggressive buying pressure and a tight supply position, whereas a cleared volume that falls well short of the purchase bid signals unmet demand at the prevailing price cap.</w:t>
      </w:r>
    </w:p>
    <w:p w14:paraId="73C1F20D" w14:textId="77777777" w:rsidR="009A39D6" w:rsidRDefault="00000000">
      <w:pPr>
        <w:pStyle w:val="BodyText"/>
      </w:pPr>
      <w:r>
        <w:t>From these raw volumes the model derives several pressure indicators: the bid spread (purchase minus sell volume), the bid ratio (purchase over sell), the cleared share of the purchase and of the sell bids, and the gap between scheduled and cleared volume. These features let the model separate a genuinely stressed block, where high demand and high price coincide with heavy, only partially cleared buying, from a merely high-price block driven by transient volatility.</w:t>
      </w:r>
    </w:p>
    <w:p w14:paraId="726FCD69" w14:textId="77777777" w:rsidR="009303D9" w:rsidRPr="005B520E" w:rsidRDefault="00554BB2" w:rsidP="00ED0149">
      <w:pPr>
        <w:pStyle w:val="Heading2"/>
      </w:pPr>
      <w:r>
        <w:t>Temperature</w:t>
      </w:r>
    </w:p>
    <w:p w14:paraId="46283C8A" w14:textId="77777777" w:rsidR="00554BB2" w:rsidRDefault="00554BB2" w:rsidP="00554BB2">
      <w:pPr>
        <w:pStyle w:val="BodyText"/>
      </w:pPr>
      <w:r>
        <w:t>Temperature is one of the most important weather variables influencing electricity demand, especially in regions where cooling load plays a major role. High ambient temperatures can lead to substantial increases in air-conditioning load, thereby raising overall system demand and intensifying evening or afternoon peaks. Temperature therefore acts as a physical driver of demand behaviour and helps the model explain seasonal and diurnal variation in peak load occurrence.</w:t>
      </w:r>
    </w:p>
    <w:p w14:paraId="10A75CAB" w14:textId="77777777" w:rsidR="009303D9" w:rsidRDefault="00554BB2" w:rsidP="00ED0149">
      <w:pPr>
        <w:pStyle w:val="Heading2"/>
      </w:pPr>
      <w:r>
        <w:t>Relative Humidity</w:t>
      </w:r>
    </w:p>
    <w:p w14:paraId="7F9ABA20" w14:textId="77777777" w:rsidR="009303D9" w:rsidRDefault="00554BB2" w:rsidP="00E7596C">
      <w:pPr>
        <w:pStyle w:val="BodyText"/>
      </w:pPr>
      <w:r>
        <w:t>Relative humidity is included because thermal discomfort and cooling demand are often influenced not by temperature alone, but by the combined effect of temperature and moisture content in the air. High humidity can exacerbate the perceived heat burden and increase the use of cooling appliances, thereby contributing to elevated load conditions. When used alongside temperature, relative humidity allows the model to better represent weather-induced demand stress.</w:t>
      </w:r>
    </w:p>
    <w:p w14:paraId="6DE34BB1" w14:textId="77777777" w:rsidR="00554BB2" w:rsidRDefault="00554BB2" w:rsidP="00554BB2">
      <w:pPr>
        <w:pStyle w:val="Heading1"/>
      </w:pPr>
      <w:r>
        <w:t>Methodological Framework</w:t>
      </w:r>
    </w:p>
    <w:p w14:paraId="43DBBF0F" w14:textId="77777777" w:rsidR="00554BB2" w:rsidRDefault="00554BB2" w:rsidP="00554BB2">
      <w:pPr>
        <w:pStyle w:val="Heading2"/>
      </w:pPr>
      <w:r>
        <w:t>Time Resolution</w:t>
      </w:r>
    </w:p>
    <w:p w14:paraId="603D82BB" w14:textId="77777777" w:rsidR="00554BB2" w:rsidRDefault="00554BB2" w:rsidP="00554BB2">
      <w:pPr>
        <w:pStyle w:val="BodyText"/>
      </w:pPr>
      <w:r>
        <w:t>The analysis is carried out at a 15-minute block level, which is operationally consistent with scheduling, dispatch, and market settlement practices in the Indian power sector. Each day is therefore divided into 96 time blocks, and the model assigns a score to each block based on the selected explanatory variables. This fifteen-minute block is the Time Block defined in Regulation 127 of the CERC (Indian Electricity Grid Code) Regulations, 2023 [13], the metering and settlement interval whose first block starts at 00:00 hours.</w:t>
      </w:r>
    </w:p>
    <w:p w14:paraId="32CD296F" w14:textId="77777777" w:rsidR="00554BB2" w:rsidRDefault="00554BB2" w:rsidP="00554BB2">
      <w:pPr>
        <w:pStyle w:val="BodyText"/>
      </w:pPr>
      <w:r>
        <w:t>The choice of 15-minute resolution is important because it balances :</w:t>
      </w:r>
    </w:p>
    <w:p w14:paraId="03BB5794" w14:textId="77777777" w:rsidR="00284D4F" w:rsidRDefault="00284D4F" w:rsidP="00284D4F">
      <w:pPr>
        <w:pStyle w:val="BodyText"/>
        <w:numPr>
          <w:ilvl w:val="0"/>
          <w:numId w:val="27"/>
        </w:numPr>
      </w:pPr>
      <w:r>
        <w:t>Sufficient temporal granularity to capture peak evolution within the day,</w:t>
      </w:r>
    </w:p>
    <w:p w14:paraId="451B6A7C" w14:textId="77777777" w:rsidR="00284D4F" w:rsidRDefault="00284D4F" w:rsidP="00284D4F">
      <w:pPr>
        <w:pStyle w:val="BodyText"/>
        <w:numPr>
          <w:ilvl w:val="0"/>
          <w:numId w:val="27"/>
        </w:numPr>
      </w:pPr>
      <w:r>
        <w:t>Operational relevance for scheduling and market analysis,</w:t>
      </w:r>
    </w:p>
    <w:p w14:paraId="47D0E6D8" w14:textId="77777777" w:rsidR="00284D4F" w:rsidRDefault="00284D4F" w:rsidP="00284D4F">
      <w:pPr>
        <w:pStyle w:val="BodyText"/>
        <w:numPr>
          <w:ilvl w:val="0"/>
          <w:numId w:val="27"/>
        </w:numPr>
      </w:pPr>
      <w:r>
        <w:t>Reduces noise compared with very high-frequency data such as 1- minute telemetry</w:t>
      </w:r>
    </w:p>
    <w:p w14:paraId="3434D778" w14:textId="77777777" w:rsidR="00284D4F" w:rsidRPr="005B520E" w:rsidRDefault="00284D4F" w:rsidP="00284D4F">
      <w:pPr>
        <w:pStyle w:val="BodyText"/>
        <w:ind w:start="14.40pt" w:firstLine="0pt"/>
      </w:pPr>
      <w:r>
        <w:rPr>
          <w:highlight w:val="yellow"/>
        </w:rPr>
        <w:t>The Temperature and Relative Humidity data are hourly basis which are resampled into 15 minutes data</w:t>
      </w:r>
    </w:p>
    <w:p w14:paraId="6A3AD8C1" w14:textId="77777777" w:rsidR="00554BB2" w:rsidRDefault="00284D4F" w:rsidP="00554BB2">
      <w:pPr>
        <w:pStyle w:val="Heading2"/>
      </w:pPr>
      <w:r>
        <w:t>Input Variables</w:t>
      </w:r>
    </w:p>
    <w:p w14:paraId="6E9A4CDC" w14:textId="77777777" w:rsidR="00554BB2" w:rsidRPr="005B520E" w:rsidRDefault="00284D4F" w:rsidP="00554BB2">
      <w:pPr>
        <w:pStyle w:val="bulletlist"/>
      </w:pPr>
      <w:r>
        <w:t>Net NR Demand</w:t>
      </w:r>
    </w:p>
    <w:p w14:paraId="30839194" w14:textId="77777777" w:rsidR="00554BB2" w:rsidRPr="005B520E" w:rsidRDefault="00284D4F" w:rsidP="00554BB2">
      <w:pPr>
        <w:pStyle w:val="bulletlist"/>
      </w:pPr>
      <w:r>
        <w:t>RTM and DAM Prices</w:t>
      </w:r>
    </w:p>
    <w:p w14:paraId="4274A5C5" w14:textId="77777777" w:rsidR="00554BB2" w:rsidRPr="005B520E" w:rsidRDefault="00284D4F" w:rsidP="00554BB2">
      <w:pPr>
        <w:pStyle w:val="bulletlist"/>
      </w:pPr>
      <w:r>
        <w:t>Exchange Trade Buy and Sell volumes</w:t>
      </w:r>
    </w:p>
    <w:p w14:paraId="10084997" w14:textId="77777777" w:rsidR="00554BB2" w:rsidRDefault="00284D4F" w:rsidP="00554BB2">
      <w:pPr>
        <w:pStyle w:val="bulletlist"/>
      </w:pPr>
      <w:r>
        <w:t>Ambient Temperature</w:t>
      </w:r>
    </w:p>
    <w:p w14:paraId="28FBE339" w14:textId="77777777" w:rsidR="00284D4F" w:rsidRDefault="00284D4F" w:rsidP="00554BB2">
      <w:pPr>
        <w:pStyle w:val="bulletlist"/>
      </w:pPr>
      <w:r>
        <w:t>Relative Humidity</w:t>
      </w:r>
    </w:p>
    <w:p w14:paraId="6248D27A" w14:textId="77777777" w:rsidR="00284D4F" w:rsidRPr="005B520E" w:rsidRDefault="00284D4F" w:rsidP="00284D4F">
      <w:pPr>
        <w:pStyle w:val="bulletlist"/>
        <w:numPr>
          <w:ilvl w:val="0"/>
          <w:numId w:val="0"/>
        </w:numPr>
        <w:ind w:firstLine="14.20pt"/>
      </w:pPr>
      <w:r>
        <w:t>These variables are aligned on a common timestamp basis so that each block contains a synchronized set of system, market, and weather attributes.</w:t>
      </w:r>
    </w:p>
    <w:p w14:paraId="1EBF8B2F" w14:textId="77777777" w:rsidR="00554BB2" w:rsidRPr="005B520E" w:rsidRDefault="00284D4F" w:rsidP="00554BB2">
      <w:pPr>
        <w:pStyle w:val="Heading2"/>
      </w:pPr>
      <w:r>
        <w:t>Data Processing and Normalisation</w:t>
      </w:r>
    </w:p>
    <w:p w14:paraId="354B3D07" w14:textId="77777777" w:rsidR="00554BB2" w:rsidRDefault="00284D4F" w:rsidP="00554BB2">
      <w:pPr>
        <w:pStyle w:val="BodyText"/>
      </w:pPr>
      <w:r>
        <w:t>Since the selected variables are measured in different units and ranges (e.g., MW, Rs/MWh, °C, and % humidity), they cannot be directly combined without preprocessing. Therefore, a normalization or scaling step is required so that each variable contributes to the composite block score in a comparable manner.</w:t>
      </w:r>
    </w:p>
    <w:p w14:paraId="2270FCCD" w14:textId="77777777" w:rsidR="00284D4F" w:rsidRDefault="00284D4F" w:rsidP="00554BB2">
      <w:pPr>
        <w:pStyle w:val="BodyText"/>
      </w:pPr>
      <w:r>
        <w:t>Typical normalisation approaches may include</w:t>
      </w:r>
    </w:p>
    <w:p w14:paraId="639F1458" w14:textId="77777777" w:rsidR="00284D4F" w:rsidRDefault="00284D4F" w:rsidP="00284D4F">
      <w:pPr>
        <w:pStyle w:val="BodyText"/>
        <w:numPr>
          <w:ilvl w:val="0"/>
          <w:numId w:val="28"/>
        </w:numPr>
      </w:pPr>
      <w:r>
        <w:t>Min-Max normalisation</w:t>
      </w:r>
    </w:p>
    <w:p w14:paraId="68DC65EF" w14:textId="77777777" w:rsidR="00284D4F" w:rsidRDefault="00284D4F" w:rsidP="00284D4F">
      <w:pPr>
        <w:pStyle w:val="BodyText"/>
        <w:numPr>
          <w:ilvl w:val="0"/>
          <w:numId w:val="28"/>
        </w:numPr>
      </w:pPr>
      <w:r>
        <w:t xml:space="preserve">Z-Score standardisation </w:t>
      </w:r>
    </w:p>
    <w:p w14:paraId="6A3F663A" w14:textId="77777777" w:rsidR="00284D4F" w:rsidRDefault="00284D4F" w:rsidP="00284D4F">
      <w:pPr>
        <w:pStyle w:val="BodyText"/>
        <w:numPr>
          <w:ilvl w:val="0"/>
          <w:numId w:val="28"/>
        </w:numPr>
      </w:pPr>
      <w:r>
        <w:t>Percentile-based scaling</w:t>
      </w:r>
    </w:p>
    <w:p w14:paraId="1D41A832" w14:textId="77777777" w:rsidR="00284D4F" w:rsidRPr="005B520E" w:rsidRDefault="00284D4F" w:rsidP="00284D4F">
      <w:pPr>
        <w:pStyle w:val="BodyText"/>
        <w:numPr>
          <w:ilvl w:val="0"/>
          <w:numId w:val="28"/>
        </w:numPr>
      </w:pPr>
      <w:r>
        <w:t>Rank transformation</w:t>
      </w:r>
    </w:p>
    <w:p w14:paraId="7ADE59EE" w14:textId="77777777" w:rsidR="00284D4F" w:rsidRPr="005B520E" w:rsidRDefault="00284D4F" w:rsidP="00284D4F">
      <w:pPr>
        <w:pStyle w:val="BodyText"/>
      </w:pPr>
      <w:r>
        <w:lastRenderedPageBreak/>
        <w:t xml:space="preserve">The purpose of normalization is to ensure that no single variable dominates the scoring mechanism purely due to scale. For example, demand values in MW are numerically much larger than temperature values in °C, but this does not imply that demand should automatically receive disproportionate influence unless such weighting is explicitly intended. </w:t>
      </w:r>
    </w:p>
    <w:p w14:paraId="3F2D0283" w14:textId="77777777" w:rsidR="009303D9" w:rsidRDefault="005D62FD" w:rsidP="00ED0149">
      <w:pPr>
        <w:pStyle w:val="Heading2"/>
      </w:pPr>
      <w:r>
        <w:t>Block Scoring Philosophy</w:t>
      </w:r>
    </w:p>
    <w:p w14:paraId="3CC62997" w14:textId="77777777" w:rsidR="009303D9" w:rsidRDefault="005D62FD" w:rsidP="00E7596C">
      <w:pPr>
        <w:pStyle w:val="BodyText"/>
        <w:rPr>
          <w:lang w:val="en-US"/>
        </w:rPr>
      </w:pPr>
      <w:r>
        <w:rPr>
          <w:lang w:val="en-US"/>
        </w:rPr>
        <w:t xml:space="preserve">The model assigns a composite score to each 15-minute block based on the relative magnitude and importance of the input variables. Conceptually, the score may be represented as: </w:t>
      </w:r>
    </w:p>
    <w:p w14:paraId="19366312" w14:textId="77777777" w:rsidR="009A39D6" w:rsidRDefault="00000000">
      <w:pPr>
        <w:pStyle w:val="BodyText"/>
        <w:jc w:val="center"/>
      </w:pPr>
      <w:r>
        <w:rPr>
          <w:i/>
        </w:rPr>
        <w:t>S(t) = f ( D(t), R(t), A(t), V(t), T(t), H(t) )          (1)</w:t>
      </w:r>
    </w:p>
    <w:p w14:paraId="56835B84" w14:textId="77777777" w:rsidR="005D62FD" w:rsidRPr="00152E6E" w:rsidRDefault="00000000" w:rsidP="00E7596C">
      <w:pPr>
        <w:pStyle w:val="BodyText"/>
      </w:pPr>
      <m:oMathPara>
        <m:oMath>
          <m:sSub>
            <m:sSubPr>
              <m:ctrlPr>
                <w:rPr>
                  <w:rFonts w:ascii="Cambria Math" w:hAnsi="Cambria Math"/>
                  <w:i/>
                </w:rPr>
              </m:ctrlPr>
            </m:sSubPr>
            <m:e>
              <m:r>
                <w:rPr>
                  <w:rFonts w:ascii="Cambria Math" w:hAnsi="Cambria Math"/>
                </w:rPr>
                <m:t>Peak Score</m:t>
              </m:r>
            </m:e>
            <m:sub>
              <m:r>
                <w:rPr>
                  <w:rFonts w:ascii="Cambria Math" w:hAnsi="Cambria Math"/>
                </w:rPr>
                <m:t>t</m:t>
              </m:r>
            </m:sub>
          </m:sSub>
          <m:r>
            <w:rPr>
              <w:rFonts w:ascii="Cambria Math" w:hAnsi="Cambria Math"/>
            </w:rPr>
            <m:t>=f(</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RTM</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DAM</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Buy</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Sell</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RH</m:t>
              </m:r>
            </m:e>
            <m:sub>
              <m:r>
                <w:rPr>
                  <w:rFonts w:ascii="Cambria Math" w:hAnsi="Cambria Math"/>
                </w:rPr>
                <m:t>t</m:t>
              </m:r>
            </m:sub>
          </m:sSub>
          <m:r>
            <w:rPr>
              <w:rFonts w:ascii="Cambria Math" w:hAnsi="Cambria Math"/>
            </w:rPr>
            <m:t>)</m:t>
          </m:r>
        </m:oMath>
      </m:oMathPara>
    </w:p>
    <w:p w14:paraId="085AB6B7" w14:textId="77777777" w:rsidR="00152E6E" w:rsidRDefault="00152E6E" w:rsidP="00E7596C">
      <w:pPr>
        <w:pStyle w:val="BodyText"/>
      </w:pPr>
      <w:r>
        <w:t>where:</w:t>
      </w:r>
    </w:p>
    <w:p w14:paraId="1B204334" w14:textId="77777777" w:rsidR="00152E6E" w:rsidRDefault="00000000" w:rsidP="00152E6E">
      <w:pPr>
        <w:pStyle w:val="BodyText"/>
        <w:numPr>
          <w:ilvl w:val="0"/>
          <w:numId w:val="30"/>
        </w:numPr>
      </w:p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oMath>
      <w:r w:rsidR="00152E6E">
        <w:t xml:space="preserve"> Net NR Demand in block t</w:t>
      </w:r>
    </w:p>
    <w:p w14:paraId="3FBEE8A0" w14:textId="77777777" w:rsidR="00152E6E" w:rsidRDefault="00000000" w:rsidP="00152E6E">
      <w:pPr>
        <w:pStyle w:val="BodyText"/>
        <w:numPr>
          <w:ilvl w:val="0"/>
          <w:numId w:val="30"/>
        </w:numPr>
      </w:pP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RTM</m:t>
            </m:r>
          </m:sup>
        </m:sSubSup>
        <m:r>
          <w:rPr>
            <w:rFonts w:ascii="Cambria Math" w:hAnsi="Cambria Math"/>
          </w:rPr>
          <m:t>=</m:t>
        </m:r>
      </m:oMath>
      <w:r w:rsidR="00152E6E">
        <w:t xml:space="preserve"> RTM prices in block t</w:t>
      </w:r>
    </w:p>
    <w:p w14:paraId="19EF0796" w14:textId="77777777" w:rsidR="00152E6E" w:rsidRDefault="00000000" w:rsidP="00152E6E">
      <w:pPr>
        <w:pStyle w:val="BodyText"/>
        <w:numPr>
          <w:ilvl w:val="0"/>
          <w:numId w:val="30"/>
        </w:numPr>
      </w:pP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DAM</m:t>
            </m:r>
          </m:sup>
        </m:sSubSup>
        <m:r>
          <w:rPr>
            <w:rFonts w:ascii="Cambria Math" w:hAnsi="Cambria Math"/>
          </w:rPr>
          <m:t>=</m:t>
        </m:r>
      </m:oMath>
      <w:r w:rsidR="00152E6E">
        <w:t>DAM prices in block t</w:t>
      </w:r>
    </w:p>
    <w:p w14:paraId="0202C795" w14:textId="77777777" w:rsidR="00152E6E" w:rsidRDefault="00000000" w:rsidP="00152E6E">
      <w:pPr>
        <w:pStyle w:val="BodyText"/>
        <w:numPr>
          <w:ilvl w:val="0"/>
          <w:numId w:val="30"/>
        </w:numPr>
      </w:pPr>
      <m:oMath>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Buy</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Sell</m:t>
            </m:r>
          </m:sup>
        </m:sSubSup>
        <m:r>
          <w:rPr>
            <w:rFonts w:ascii="Cambria Math" w:hAnsi="Cambria Math"/>
          </w:rPr>
          <m:t>=</m:t>
        </m:r>
      </m:oMath>
      <w:r w:rsidR="00152E6E">
        <w:t xml:space="preserve"> Volume Traded Buy and Sell in block t </w:t>
      </w:r>
    </w:p>
    <w:p w14:paraId="3FAF5A8C" w14:textId="77777777" w:rsidR="00152E6E" w:rsidRDefault="00000000" w:rsidP="00152E6E">
      <w:pPr>
        <w:pStyle w:val="BodyText"/>
        <w:numPr>
          <w:ilvl w:val="0"/>
          <w:numId w:val="30"/>
        </w:numPr>
      </w:pPr>
      <m:oMath>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oMath>
      <w:r w:rsidR="00152E6E">
        <w:t xml:space="preserve"> temperature in block t</w:t>
      </w:r>
    </w:p>
    <w:p w14:paraId="45318846" w14:textId="77777777" w:rsidR="00152E6E" w:rsidRDefault="00000000" w:rsidP="00152E6E">
      <w:pPr>
        <w:pStyle w:val="BodyText"/>
        <w:numPr>
          <w:ilvl w:val="0"/>
          <w:numId w:val="30"/>
        </w:numPr>
      </w:pPr>
      <m:oMath>
        <m:sSub>
          <m:sSubPr>
            <m:ctrlPr>
              <w:rPr>
                <w:rFonts w:ascii="Cambria Math" w:hAnsi="Cambria Math"/>
                <w:i/>
              </w:rPr>
            </m:ctrlPr>
          </m:sSubPr>
          <m:e>
            <m:r>
              <w:rPr>
                <w:rFonts w:ascii="Cambria Math" w:hAnsi="Cambria Math"/>
              </w:rPr>
              <m:t>RH</m:t>
            </m:r>
          </m:e>
          <m:sub>
            <m:r>
              <w:rPr>
                <w:rFonts w:ascii="Cambria Math" w:hAnsi="Cambria Math"/>
              </w:rPr>
              <m:t>t</m:t>
            </m:r>
          </m:sub>
        </m:sSub>
        <m:r>
          <w:rPr>
            <w:rFonts w:ascii="Cambria Math" w:hAnsi="Cambria Math"/>
          </w:rPr>
          <m:t>=</m:t>
        </m:r>
      </m:oMath>
      <w:r w:rsidR="00152E6E">
        <w:t>relative humidity in block t</w:t>
      </w:r>
    </w:p>
    <w:p w14:paraId="1845C6FD" w14:textId="77777777" w:rsidR="00152E6E" w:rsidRDefault="00152E6E" w:rsidP="00152E6E">
      <w:pPr>
        <w:pStyle w:val="BodyText"/>
        <w:ind w:firstLine="0pt"/>
      </w:pPr>
      <w:r>
        <w:tab/>
        <w:t xml:space="preserve">The function </w:t>
      </w:r>
      <m:oMath>
        <m:r>
          <w:rPr>
            <w:rFonts w:ascii="Cambria Math" w:hAnsi="Cambria Math"/>
          </w:rPr>
          <m:t>f(∙)</m:t>
        </m:r>
      </m:oMath>
      <w:r>
        <w:t xml:space="preserve"> may be designed either as:</w:t>
      </w:r>
    </w:p>
    <w:p w14:paraId="47EF9E6B" w14:textId="77777777" w:rsidR="00D82173" w:rsidRDefault="00D82173" w:rsidP="00D82173">
      <w:pPr>
        <w:pStyle w:val="BodyText"/>
        <w:numPr>
          <w:ilvl w:val="0"/>
          <w:numId w:val="31"/>
        </w:numPr>
      </w:pPr>
      <w:r>
        <w:t>A weighted composite scoring function, or</w:t>
      </w:r>
    </w:p>
    <w:p w14:paraId="4E9D45CA" w14:textId="77777777" w:rsidR="00D82173" w:rsidRDefault="00D82173" w:rsidP="00D82173">
      <w:pPr>
        <w:pStyle w:val="BodyText"/>
        <w:numPr>
          <w:ilvl w:val="0"/>
          <w:numId w:val="31"/>
        </w:numPr>
      </w:pPr>
      <w:r>
        <w:t>A machine learning model that learns the relationship between these inputs and the occurrence of peak blocks.</w:t>
      </w:r>
    </w:p>
    <w:p w14:paraId="028B24D6" w14:textId="77777777" w:rsidR="00D82173" w:rsidRDefault="00D82173" w:rsidP="00393927">
      <w:pPr>
        <w:pStyle w:val="BodyText"/>
        <w:ind w:firstLine="14.20pt"/>
      </w:pPr>
      <w:r>
        <w:t>In a scoring-based implementation, the block score may be formed as a weighted sum of normalised variables:</w:t>
      </w:r>
    </w:p>
    <w:p w14:paraId="2F10E00A" w14:textId="77777777" w:rsidR="009A39D6" w:rsidRDefault="00000000">
      <w:pPr>
        <w:pStyle w:val="BodyText"/>
        <w:jc w:val="center"/>
      </w:pPr>
      <w:r>
        <w:rPr>
          <w:i/>
        </w:rPr>
        <w:t>S(t) = w1 x̃₁(t) + w2 x̃₂(t) + … + wn x̃ₙ(t)          (2)</w:t>
      </w:r>
    </w:p>
    <w:p w14:paraId="356F9F40" w14:textId="77777777" w:rsidR="00D82173" w:rsidRPr="007664A6" w:rsidRDefault="00000000" w:rsidP="00D82173">
      <w:pPr>
        <w:pStyle w:val="BodyText"/>
        <w:ind w:firstLine="0pt"/>
      </w:pPr>
      <m:oMathPara>
        <m:oMath>
          <m:sSub>
            <m:sSubPr>
              <m:ctrlPr>
                <w:rPr>
                  <w:rFonts w:ascii="Cambria Math" w:hAnsi="Cambria Math"/>
                  <w:i/>
                </w:rPr>
              </m:ctrlPr>
            </m:sSubPr>
            <m:e>
              <m:r>
                <w:rPr>
                  <w:rFonts w:ascii="Cambria Math" w:hAnsi="Cambria Math"/>
                </w:rPr>
                <m:t>Score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t</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acc>
            <m:accPr>
              <m:ctrlPr>
                <w:rPr>
                  <w:rFonts w:ascii="Cambria Math" w:hAnsi="Cambria Math"/>
                  <w:i/>
                </w:rPr>
              </m:ctrlPr>
            </m:acc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RTM</m:t>
                  </m:r>
                </m:sup>
              </m:sSubSup>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acc>
            <m:accPr>
              <m:ctrlPr>
                <w:rPr>
                  <w:rFonts w:ascii="Cambria Math" w:hAnsi="Cambria Math"/>
                  <w:i/>
                </w:rPr>
              </m:ctrlPr>
            </m:acc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DAM</m:t>
                  </m:r>
                </m:sup>
              </m:sSubSup>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4</m:t>
              </m:r>
            </m:sub>
          </m:sSub>
          <m:acc>
            <m:accPr>
              <m:ctrlPr>
                <w:rPr>
                  <w:rFonts w:ascii="Cambria Math" w:hAnsi="Cambria Math"/>
                  <w:i/>
                </w:rPr>
              </m:ctrlPr>
            </m:accPr>
            <m:e>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Buy</m:t>
                  </m:r>
                </m:sup>
              </m:sSubSup>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5</m:t>
              </m:r>
            </m:sub>
          </m:sSub>
          <m:acc>
            <m:accPr>
              <m:ctrlPr>
                <w:rPr>
                  <w:rFonts w:ascii="Cambria Math" w:hAnsi="Cambria Math"/>
                  <w:i/>
                </w:rPr>
              </m:ctrlPr>
            </m:accPr>
            <m:e>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Sell</m:t>
                  </m:r>
                </m:sup>
              </m:sSubSup>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6</m:t>
              </m:r>
            </m:sub>
          </m:sSub>
          <m:acc>
            <m:accPr>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t</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7</m:t>
              </m:r>
            </m:sub>
          </m:sSub>
          <m:acc>
            <m:accPr>
              <m:ctrlPr>
                <w:rPr>
                  <w:rFonts w:ascii="Cambria Math" w:hAnsi="Cambria Math"/>
                  <w:i/>
                </w:rPr>
              </m:ctrlPr>
            </m:accPr>
            <m:e>
              <m:sSub>
                <m:sSubPr>
                  <m:ctrlPr>
                    <w:rPr>
                      <w:rFonts w:ascii="Cambria Math" w:hAnsi="Cambria Math"/>
                      <w:i/>
                    </w:rPr>
                  </m:ctrlPr>
                </m:sSubPr>
                <m:e>
                  <m:r>
                    <w:rPr>
                      <w:rFonts w:ascii="Cambria Math" w:hAnsi="Cambria Math"/>
                    </w:rPr>
                    <m:t>RH</m:t>
                  </m:r>
                </m:e>
                <m:sub>
                  <m:r>
                    <w:rPr>
                      <w:rFonts w:ascii="Cambria Math" w:hAnsi="Cambria Math"/>
                    </w:rPr>
                    <m:t>t</m:t>
                  </m:r>
                </m:sub>
              </m:sSub>
            </m:e>
          </m:acc>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t</m:t>
                  </m:r>
                </m:sub>
              </m:sSub>
            </m:e>
          </m:acc>
        </m:oMath>
      </m:oMathPara>
    </w:p>
    <w:p w14:paraId="163D2CE6" w14:textId="77777777" w:rsidR="007664A6" w:rsidRDefault="007664A6" w:rsidP="00393927">
      <w:pPr>
        <w:pStyle w:val="BodyText"/>
        <w:ind w:firstLine="14.20pt"/>
      </w:pPr>
      <w:r>
        <w:t>Where:</w:t>
      </w:r>
    </w:p>
    <w:p w14:paraId="43F03471" w14:textId="77777777" w:rsidR="007664A6" w:rsidRDefault="007664A6" w:rsidP="00393927">
      <w:pPr>
        <w:pStyle w:val="BodyText"/>
        <w:numPr>
          <w:ilvl w:val="0"/>
          <w:numId w:val="34"/>
        </w:numPr>
      </w:pPr>
      <w:r>
        <w:t>The tilde denote normalized variables,</w:t>
      </w:r>
    </w:p>
    <w:p w14:paraId="7118B86D" w14:textId="77777777" w:rsidR="007664A6" w:rsidRDefault="00000000" w:rsidP="00393927">
      <w:pPr>
        <w:pStyle w:val="BodyText"/>
        <w:numPr>
          <w:ilvl w:val="0"/>
          <w:numId w:val="34"/>
        </w:numPr>
      </w:pP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7</m:t>
            </m:r>
          </m:sub>
        </m:sSub>
      </m:oMath>
      <w:r w:rsidR="007664A6">
        <w:t xml:space="preserve"> denote weights assigned to the respective features.</w:t>
      </w:r>
    </w:p>
    <w:p w14:paraId="5C682495" w14:textId="77777777" w:rsidR="00393927" w:rsidRDefault="00393927" w:rsidP="00393927">
      <w:pPr>
        <w:pStyle w:val="BodyText"/>
        <w:ind w:firstLine="14.20pt"/>
      </w:pPr>
      <w:r>
        <w:t>The choice of weights may be based on:</w:t>
      </w:r>
    </w:p>
    <w:p w14:paraId="2250530E" w14:textId="77777777" w:rsidR="00393927" w:rsidRDefault="00393927" w:rsidP="00393927">
      <w:pPr>
        <w:pStyle w:val="BodyText"/>
        <w:numPr>
          <w:ilvl w:val="0"/>
          <w:numId w:val="33"/>
        </w:numPr>
        <w:ind w:firstLine="6.50pt"/>
      </w:pPr>
      <w:r>
        <w:t>Engineering judgement,</w:t>
      </w:r>
    </w:p>
    <w:p w14:paraId="7E8EFB47" w14:textId="77777777" w:rsidR="00393927" w:rsidRDefault="00393927" w:rsidP="00393927">
      <w:pPr>
        <w:pStyle w:val="BodyText"/>
        <w:numPr>
          <w:ilvl w:val="0"/>
          <w:numId w:val="33"/>
        </w:numPr>
        <w:ind w:firstLine="6.50pt"/>
      </w:pPr>
      <w:r>
        <w:t>Statistical correlations,</w:t>
      </w:r>
    </w:p>
    <w:p w14:paraId="4E4ABFAA" w14:textId="77777777" w:rsidR="00393927" w:rsidRDefault="00393927" w:rsidP="00393927">
      <w:pPr>
        <w:pStyle w:val="BodyText"/>
        <w:numPr>
          <w:ilvl w:val="0"/>
          <w:numId w:val="33"/>
        </w:numPr>
        <w:ind w:firstLine="6.50pt"/>
      </w:pPr>
      <w:r>
        <w:t>Historical back-testing,</w:t>
      </w:r>
    </w:p>
    <w:p w14:paraId="24A7B3C0" w14:textId="77777777" w:rsidR="00393927" w:rsidRDefault="00393927" w:rsidP="00393927">
      <w:pPr>
        <w:pStyle w:val="BodyText"/>
        <w:numPr>
          <w:ilvl w:val="0"/>
          <w:numId w:val="33"/>
        </w:numPr>
        <w:ind w:firstLine="6.50pt"/>
      </w:pPr>
      <w:r>
        <w:t>Optimisation against known peak-block   labels</w:t>
      </w:r>
    </w:p>
    <w:p w14:paraId="50A7A22B" w14:textId="77777777" w:rsidR="00393927" w:rsidRDefault="00393927" w:rsidP="00393927">
      <w:pPr>
        <w:pStyle w:val="BodyText"/>
        <w:ind w:firstLine="0pt"/>
      </w:pPr>
    </w:p>
    <w:p w14:paraId="4A052828" w14:textId="77777777" w:rsidR="00393927" w:rsidRDefault="00393927" w:rsidP="00393927">
      <w:pPr>
        <w:pStyle w:val="Heading1"/>
      </w:pPr>
      <w:r>
        <w:t>Identification of Desired Peak Blocks</w:t>
      </w:r>
    </w:p>
    <w:p w14:paraId="42E26CE2" w14:textId="77777777" w:rsidR="00393927" w:rsidRPr="00D7522C" w:rsidRDefault="00F02772" w:rsidP="00393927">
      <w:pPr>
        <w:pStyle w:val="BodyText"/>
        <w:rPr>
          <w:lang w:val="en-US"/>
        </w:rPr>
      </w:pPr>
      <w:r>
        <w:t xml:space="preserve">Once a score has been assigned to every 15-minute block, the next step is to identify the desired peak-hour blocks. This can be done using one of the following approaches: </w:t>
      </w:r>
    </w:p>
    <w:p w14:paraId="0377F897" w14:textId="77777777" w:rsidR="00393927" w:rsidRDefault="00F02772" w:rsidP="00393927">
      <w:pPr>
        <w:pStyle w:val="Heading2"/>
      </w:pPr>
      <w:r>
        <w:t>Top-N Block Selection</w:t>
      </w:r>
    </w:p>
    <w:p w14:paraId="2C886E35" w14:textId="77777777" w:rsidR="00393927" w:rsidRPr="005B520E" w:rsidRDefault="00F02772" w:rsidP="00393927">
      <w:pPr>
        <w:pStyle w:val="BodyText"/>
      </w:pPr>
      <w:r>
        <w:t>For each day or month, the top N highest-scoring blocks may be selected as candidate peak blocks.</w:t>
      </w:r>
    </w:p>
    <w:p w14:paraId="08F8A752" w14:textId="77777777" w:rsidR="00393927" w:rsidRDefault="00F02772" w:rsidP="00393927">
      <w:pPr>
        <w:pStyle w:val="Heading2"/>
      </w:pPr>
      <w:r>
        <w:t>Threshold-Based Selection</w:t>
      </w:r>
    </w:p>
    <w:p w14:paraId="4637B3E1" w14:textId="77777777" w:rsidR="00393927" w:rsidRPr="005B520E" w:rsidRDefault="00F02772" w:rsidP="00B35B5A">
      <w:pPr>
        <w:pStyle w:val="bulletlist"/>
        <w:numPr>
          <w:ilvl w:val="0"/>
          <w:numId w:val="0"/>
        </w:numPr>
        <w:tabs>
          <w:tab w:val="clear" w:pos="14.40pt"/>
          <w:tab w:val="start" w:pos="14.20pt"/>
        </w:tabs>
        <w:ind w:firstLine="14.20pt"/>
      </w:pPr>
      <w:r>
        <w:t xml:space="preserve">Blocks whose score exceeds a chosen threshold may be classified as peak blocks. </w:t>
      </w:r>
    </w:p>
    <w:p w14:paraId="61FC9654" w14:textId="77777777" w:rsidR="00393927" w:rsidRPr="005B520E" w:rsidRDefault="00B35B5A" w:rsidP="00393927">
      <w:pPr>
        <w:pStyle w:val="Heading2"/>
      </w:pPr>
      <w:r>
        <w:t>Frequency-Based Peak Pattern Analysis</w:t>
      </w:r>
    </w:p>
    <w:p w14:paraId="321FFB52" w14:textId="77777777" w:rsidR="00393927" w:rsidRDefault="00B35B5A" w:rsidP="00393927">
      <w:pPr>
        <w:pStyle w:val="BodyText"/>
      </w:pPr>
      <w:r>
        <w:t>The highest-scoring blocks across multiple days may be aggregated to identify recurring peak windows, such as:</w:t>
      </w:r>
    </w:p>
    <w:p w14:paraId="0FF9345C" w14:textId="77777777" w:rsidR="00B35B5A" w:rsidRDefault="00B35B5A" w:rsidP="00B35B5A">
      <w:pPr>
        <w:pStyle w:val="BodyText"/>
        <w:numPr>
          <w:ilvl w:val="0"/>
          <w:numId w:val="35"/>
        </w:numPr>
      </w:pPr>
      <w:r>
        <w:t>Late afternoon peak,</w:t>
      </w:r>
    </w:p>
    <w:p w14:paraId="665A7068" w14:textId="77777777" w:rsidR="00B35B5A" w:rsidRDefault="00B35B5A" w:rsidP="00B35B5A">
      <w:pPr>
        <w:pStyle w:val="BodyText"/>
        <w:numPr>
          <w:ilvl w:val="0"/>
          <w:numId w:val="35"/>
        </w:numPr>
      </w:pPr>
      <w:r>
        <w:t>Evening peak,</w:t>
      </w:r>
    </w:p>
    <w:p w14:paraId="36972E75" w14:textId="77777777" w:rsidR="00B35B5A" w:rsidRPr="005B520E" w:rsidRDefault="00B35B5A" w:rsidP="00B35B5A">
      <w:pPr>
        <w:pStyle w:val="BodyText"/>
        <w:numPr>
          <w:ilvl w:val="0"/>
          <w:numId w:val="35"/>
        </w:numPr>
      </w:pPr>
      <w:r>
        <w:t>Season-specific peak periods.</w:t>
      </w:r>
    </w:p>
    <w:p w14:paraId="60DE0ED3" w14:textId="77777777" w:rsidR="00393927" w:rsidRDefault="00B35B5A" w:rsidP="00393927">
      <w:pPr>
        <w:pStyle w:val="BodyText"/>
      </w:pPr>
      <w:r>
        <w:t xml:space="preserve">This enables the model to move beyond day-wise identification and produce a broader </w:t>
      </w:r>
      <w:r>
        <w:rPr>
          <w:b/>
          <w:bCs/>
        </w:rPr>
        <w:t>peak-hour signature</w:t>
      </w:r>
      <w:r>
        <w:t xml:space="preserve"> for the system. </w:t>
      </w:r>
    </w:p>
    <w:p w14:paraId="41EBAA11" w14:textId="77777777" w:rsidR="009A39D6" w:rsidRDefault="00000000">
      <w:pPr>
        <w:pStyle w:val="Heading1"/>
      </w:pPr>
      <w:r>
        <w:t>Forecasting Model Implementation</w:t>
      </w:r>
    </w:p>
    <w:p w14:paraId="08E819DB" w14:textId="77777777" w:rsidR="009A39D6" w:rsidRDefault="00000000">
      <w:pPr>
        <w:pStyle w:val="BodyText"/>
      </w:pPr>
      <w:r>
        <w:t>The conceptual score in (1) requires forward estimates of its physical and market drivers for every block of the target month. Two forecasting models supply these estimates: a net-load model and an RTM price model. Both operate on the same fifteen-minute grid and share the station-weighted weather composite described earlier.</w:t>
      </w:r>
    </w:p>
    <w:p w14:paraId="4B34AB91" w14:textId="77777777" w:rsidR="009A39D6" w:rsidRDefault="00000000">
      <w:pPr>
        <w:pStyle w:val="Heading2"/>
      </w:pPr>
      <w:r>
        <w:t>Net-Load Forecasting Model</w:t>
      </w:r>
    </w:p>
    <w:p w14:paraId="3EA6BEAE" w14:textId="77777777" w:rsidR="009A39D6" w:rsidRDefault="00000000">
      <w:pPr>
        <w:pStyle w:val="BodyText"/>
      </w:pPr>
      <w:r>
        <w:t>Net load is modelled with gradient-boosted regression trees (a LightGBM regressor, with a histogram gradient-boosting fallback). The feature set combines calendar terms (hour, day of week, month, quarter, and block index), cyclical sine and cosine encodings of the hour, day of week, and block, and weather-derived terms including the temperature-humidity product, cooling-degree and heating-degree values referenced to 22 C and 18 C, and a heat index. Temporal dependence is captured through autoregressive lags at 1, 2, 4, and 8 blocks and at 1, 2, 7, 14, and roughly 364 days, weather lags at one day and one week, and rolling means and standard deviations over one day, one week, two weeks, and one year, each with an explicit missing-value flag.</w:t>
      </w:r>
    </w:p>
    <w:p w14:paraId="1DEDED5C" w14:textId="77777777" w:rsidR="009A39D6" w:rsidRDefault="00000000">
      <w:pPr>
        <w:pStyle w:val="BodyText"/>
      </w:pPr>
      <w:r>
        <w:t>The model is trained on the full history from July 2022 and evaluated on a chronological hold-out of the final ninety-two days using mean absolute error, root-mean-square error, and the coefficient of determination. The target month is then forecast recursively, block by block. Exogenous weather is blended between a numerical weather forecast for the first sixteen days and a per-block historical climatology median, with an exponential-decay weight that transfers trust from the forecast toward climatology as the horizon lengthens.</w:t>
      </w:r>
    </w:p>
    <w:p w14:paraId="4BB79539" w14:textId="77777777" w:rsidR="009A39D6" w:rsidRDefault="00000000">
      <w:pPr>
        <w:pStyle w:val="Heading2"/>
      </w:pPr>
      <w:r>
        <w:t>Weather Compositing</w:t>
      </w:r>
    </w:p>
    <w:p w14:paraId="5CE48B64" w14:textId="77777777" w:rsidR="009A39D6" w:rsidRDefault="00000000">
      <w:pPr>
        <w:pStyle w:val="BodyText"/>
      </w:pPr>
      <w:r>
        <w:t>Temperature and relative humidity are drawn from forty stations spread across the NR states. Hourly values are resampled to fifteen minutes and combined into a single weighted temperature and a single weighted humidity series, using per-city weights taken from a prior feature-importance study so that load centres with greater influence on demand contribute proportionately more to the composite.</w:t>
      </w:r>
    </w:p>
    <w:p w14:paraId="46C45372" w14:textId="77777777" w:rsidR="009A39D6" w:rsidRDefault="00000000">
      <w:pPr>
        <w:pStyle w:val="Heading2"/>
      </w:pPr>
      <w:r>
        <w:lastRenderedPageBreak/>
        <w:t>RTM Price Forecasting: Hurdle-Quantile Ensemble with Climatology Decomposition</w:t>
      </w:r>
    </w:p>
    <w:p w14:paraId="74C20744" w14:textId="77777777" w:rsidR="009A39D6" w:rsidRDefault="00000000">
      <w:pPr>
        <w:pStyle w:val="BodyText"/>
      </w:pPr>
      <w:r>
        <w:t>Real-time prices do not behave like a single smooth series; they form a three-regime mixture. A normal band tracks the day-ahead price, a low crash regime produces near-zero prices during oversupply and high renewable output, and a high spike regime drives prices to the regulatory cap during scarcity. A single-mean or single-quantile forecast blurs these regimes together, so the price is instead modelled as a seasonal climatology plus a learned deviation:</w:t>
      </w:r>
    </w:p>
    <w:p w14:paraId="529DA726" w14:textId="77777777" w:rsidR="009A39D6" w:rsidRDefault="00000000">
      <w:pPr>
        <w:pStyle w:val="BodyText"/>
        <w:jc w:val="center"/>
      </w:pPr>
      <w:r>
        <w:rPr>
          <w:i/>
        </w:rPr>
        <w:t>RTM(t) = C ( block, day-type, season ) + Δ(t)          (3)</w:t>
      </w:r>
    </w:p>
    <w:p w14:paraId="052248EE" w14:textId="77777777" w:rsidR="009A39D6" w:rsidRDefault="00000000">
      <w:pPr>
        <w:pStyle w:val="BodyText"/>
      </w:pPr>
      <w:r>
        <w:t>The climatology term C is built from expanding, strictly past (shift-by-one) quantiles within each block, day-type, and season group, which removes look-ahead leakage and lets the same table serve the future month. The deviation term is predicted by an ensemble of five gradient-boosted quantile regressors at the 5th, 25th, 50th, 75th, and 85th percentiles, whose outputs are monotonically re-ordered. Two classifiers estimate the probability that a block belongs to the spike or the crash regime, and the final deviation is a probability-weighted mixture of the low, central, and high quantiles.</w:t>
      </w:r>
    </w:p>
    <w:p w14:paraId="0F548A10" w14:textId="77777777" w:rsidR="009A39D6" w:rsidRDefault="00000000">
      <w:pPr>
        <w:pStyle w:val="BodyText"/>
      </w:pPr>
      <w:r>
        <w:t>The prediction interval is calibrated by split-conformal inference against a held-out recent slice, giving a P05-to-P95 band with a verified empirical coverage near the ninety percent target. Historical prices are clipped to the current regulatory cap so that profiles and classifiers learn against today's market rules, and training rows are weighted by both recency and price magnitude so that recent, near-cap events carry more influence. In the recursive forecast, self-referential price lags and rolling statistics are frozen to climatology beyond a three-day horizon, so that only genuinely exogenous drivers, namely forecast net load, forecast day-ahead price, and the calendar, steer the long-range forecast and compounding error is avoided.</w:t>
      </w:r>
    </w:p>
    <w:p w14:paraId="394132BF" w14:textId="77777777" w:rsidR="009A39D6" w:rsidRDefault="00000000">
      <w:pPr>
        <w:pStyle w:val="Heading2"/>
      </w:pPr>
      <w:r>
        <w:t>Validation</w:t>
      </w:r>
    </w:p>
    <w:p w14:paraId="1544A64D" w14:textId="77777777" w:rsidR="009A39D6" w:rsidRDefault="00000000">
      <w:pPr>
        <w:pStyle w:val="BodyText"/>
      </w:pPr>
      <w:r>
        <w:t>The RTM model is validated by five-fold walk-forward, expanding-window cross-validation rather than a single split. Each fold reports mean absolute error, root-mean-square error, and per-quantile pinball loss, together with the precision, recall, and F1 score of the cap-hit classifier. The probability threshold used to flag a block as a predicted cap-hit is chosen to maximize F1 across the folds and a held-out calibration slice, so that the classifier neither flags every evening nor misses genuine scarcity events.</w:t>
      </w:r>
    </w:p>
    <w:p w14:paraId="05AC9472" w14:textId="77777777" w:rsidR="009A39D6" w:rsidRDefault="00000000">
      <w:pPr>
        <w:pStyle w:val="Heading1"/>
      </w:pPr>
      <w:r>
        <w:t>Peak-Hour Scoring and Window Selection</w:t>
      </w:r>
    </w:p>
    <w:p w14:paraId="48C77CEE" w14:textId="77777777" w:rsidR="009A39D6" w:rsidRDefault="00000000">
      <w:pPr>
        <w:pStyle w:val="Heading2"/>
      </w:pPr>
      <w:r>
        <w:t>Composite Block Score</w:t>
      </w:r>
    </w:p>
    <w:p w14:paraId="2810940C" w14:textId="77777777" w:rsidR="009A39D6" w:rsidRDefault="00000000">
      <w:pPr>
        <w:pStyle w:val="BodyText"/>
      </w:pPr>
      <w:r>
        <w:t>Once net load and RTM price have been forecast for the target month, every block receives a composite peak score. All component signals are standardized with a robust, median and median-absolute-deviation z-score clipped to plus or minus five, so that a single large-scale variable cannot dominate the ranking. The realized score is:</w:t>
      </w:r>
    </w:p>
    <w:p w14:paraId="1F0C652E" w14:textId="77777777" w:rsidR="009A39D6" w:rsidRDefault="00000000">
      <w:pPr>
        <w:pStyle w:val="BodyText"/>
        <w:jc w:val="center"/>
      </w:pPr>
      <w:r>
        <w:rPr>
          <w:i/>
        </w:rPr>
        <w:t>Peak(t) = 0.70 z( NL·RTM ) + 0.08 NLScore(t) + 0.15 RTMScore(t) + 0.07 z( DAM(t) )   (4)</w:t>
      </w:r>
    </w:p>
    <w:p w14:paraId="399260DD" w14:textId="77777777" w:rsidR="009A39D6" w:rsidRDefault="00000000">
      <w:pPr>
        <w:pStyle w:val="BodyText"/>
      </w:pPr>
      <w:r>
        <w:t>where NL·RTM is the product of forecast net load and forecast RTM price, NLScore combines the net-load excess above a ninetieth-percentile threshold with the top-decile upward ramp, RTMScore combines the standardized RTM price with its positive ramp, and the final term aggregates day-</w:t>
      </w:r>
      <w:r>
        <w:t>ahead bid volumes, cleared volume, and the market clearing price. The net-load-times-price interaction carries the largest weight by design, so a block scores highly only when strong demand and a high price occur together rather than either alone.</w:t>
      </w:r>
    </w:p>
    <w:p w14:paraId="3F9ADF3E" w14:textId="77777777" w:rsidR="009A39D6" w:rsidRDefault="00000000">
      <w:pPr>
        <w:pStyle w:val="Heading2"/>
      </w:pPr>
      <w:r>
        <w:t>Evening-Ramp Gating</w:t>
      </w:r>
    </w:p>
    <w:p w14:paraId="33732903" w14:textId="77777777" w:rsidR="009A39D6" w:rsidRDefault="00000000">
      <w:pPr>
        <w:pStyle w:val="BodyText"/>
      </w:pPr>
      <w:r>
        <w:t>Peak windows are constrained to begin only after the evening net-load ramp has passed its mid-point. The framework locates the afternoon trough between 12:00 and 18:00 and the evening peak that follows it, and forbids any candidate window from starting before the block at which the average curve first crosses the halfway value between them. This keeps the declaration in the operationally meaningful evening and night period without hard-coding a fixed start time.</w:t>
      </w:r>
    </w:p>
    <w:p w14:paraId="63F9299C" w14:textId="77777777" w:rsidR="009A39D6" w:rsidRDefault="00000000">
      <w:pPr>
        <w:pStyle w:val="Heading2"/>
      </w:pPr>
      <w:r>
        <w:t>Monthly Aggregation and Recency Weighting</w:t>
      </w:r>
    </w:p>
    <w:p w14:paraId="68BE377C" w14:textId="77777777" w:rsidR="009A39D6" w:rsidRDefault="00000000">
      <w:pPr>
        <w:pStyle w:val="BodyText"/>
      </w:pPr>
      <w:r>
        <w:t>Block scores are aggregated across the month by several methods, including the mean, median, seventy-fifth and ninetieth percentiles, the daily top-block frequency, a market-pressure blend, a robust blend of these, and a recency-weighted mean. The default is the recency-weighted mean, in which each day's contribution is halved every fifteen days of distance from the last day of real data. Because recursive forecasts degrade with horizon, this lets the more reliable early-month days count more heavily than the late-month days.</w:t>
      </w:r>
    </w:p>
    <w:p w14:paraId="64638CE0" w14:textId="77777777" w:rsidR="009A39D6" w:rsidRDefault="00000000">
      <w:pPr>
        <w:pStyle w:val="Heading2"/>
      </w:pPr>
      <w:r>
        <w:t>Window Selection</w:t>
      </w:r>
    </w:p>
    <w:p w14:paraId="5A205EBD" w14:textId="77777777" w:rsidR="009A39D6" w:rsidRDefault="00000000">
      <w:pPr>
        <w:pStyle w:val="BodyText"/>
      </w:pPr>
      <w:r>
        <w:t>The declared peak is the fixed-duration daily window that maximizes the summed block score subject to the ramp gate. Its length is a configurable parameter, set to the peak duration that the CERC Tariff Regulations, 2024 [12] mandate for the relevant category of generating station: four hours (sixteen fifteen-minute blocks) for thermal stations under Regulation 62(3), or three hours (twelve blocks) for hydro stations under Regulation 65. The results reported here use the twelve-block, three-hour configuration applicable to hydro generating stations. The window may be continuous or split into two sub-windows of at least four blocks each, which lets the framework represent both a single evening peak and separate evening and late-night peaks when the data support them while still summing to the mandated duration. The selection is reported alongside a side-by-side comparison of every aggregation method.</w:t>
      </w:r>
    </w:p>
    <w:p w14:paraId="26DF720C" w14:textId="77777777" w:rsidR="00B35B5A" w:rsidRDefault="00B35B5A" w:rsidP="00B35B5A">
      <w:pPr>
        <w:pStyle w:val="Heading1"/>
      </w:pPr>
      <w:r>
        <w:t>Interpretation of the Model Output</w:t>
      </w:r>
    </w:p>
    <w:p w14:paraId="6526F3B9" w14:textId="77777777" w:rsidR="00B35B5A" w:rsidRPr="00D7522C" w:rsidRDefault="00BB1329" w:rsidP="00B35B5A">
      <w:pPr>
        <w:pStyle w:val="BodyText"/>
        <w:rPr>
          <w:lang w:val="en-US"/>
        </w:rPr>
      </w:pPr>
      <w:r>
        <w:t>The output of the model is not limited to a single numerical score. Rather, it can be interpreted in several useful ways:</w:t>
      </w:r>
    </w:p>
    <w:p w14:paraId="2260F758" w14:textId="77777777" w:rsidR="00B35B5A" w:rsidRDefault="00BB1329" w:rsidP="00B35B5A">
      <w:pPr>
        <w:pStyle w:val="Heading2"/>
      </w:pPr>
      <w:r>
        <w:t>Block Ranking</w:t>
      </w:r>
    </w:p>
    <w:p w14:paraId="7CFDBD76" w14:textId="77777777" w:rsidR="00B35B5A" w:rsidRDefault="00BB1329" w:rsidP="00BB1329">
      <w:pPr>
        <w:pStyle w:val="BodyText"/>
      </w:pPr>
      <w:r>
        <w:t>Each 15-minute block can be ranked in descending order of peak score, allowing the analyst to identify the most probable peak periods.</w:t>
      </w:r>
    </w:p>
    <w:p w14:paraId="2D5A578C" w14:textId="77777777" w:rsidR="00B35B5A" w:rsidRPr="005B520E" w:rsidRDefault="00BB1329" w:rsidP="00B35B5A">
      <w:pPr>
        <w:pStyle w:val="Heading2"/>
      </w:pPr>
      <w:r>
        <w:t>Daily Peak Pattern</w:t>
      </w:r>
    </w:p>
    <w:p w14:paraId="7DDD5D1D" w14:textId="77777777" w:rsidR="00BB1329" w:rsidRDefault="00BB1329" w:rsidP="00BB1329">
      <w:pPr>
        <w:pStyle w:val="BodyText"/>
      </w:pPr>
      <w:r>
        <w:t xml:space="preserve">The daily sequence of scores reveals how the likelihood of peak conditions evolves through the day, which can help distinguish: </w:t>
      </w:r>
    </w:p>
    <w:p w14:paraId="304A17C6" w14:textId="77777777" w:rsidR="00BB1329" w:rsidRDefault="00BB1329" w:rsidP="00BB1329">
      <w:pPr>
        <w:pStyle w:val="BodyText"/>
        <w:numPr>
          <w:ilvl w:val="0"/>
          <w:numId w:val="36"/>
        </w:numPr>
        <w:rPr>
          <w:lang w:val="en-US"/>
        </w:rPr>
      </w:pPr>
      <w:r>
        <w:rPr>
          <w:lang w:val="en-US"/>
        </w:rPr>
        <w:t>Morning ramp behaviour,</w:t>
      </w:r>
    </w:p>
    <w:p w14:paraId="257ED2AF" w14:textId="77777777" w:rsidR="00BB1329" w:rsidRDefault="00BB1329" w:rsidP="00BB1329">
      <w:pPr>
        <w:pStyle w:val="BodyText"/>
        <w:numPr>
          <w:ilvl w:val="0"/>
          <w:numId w:val="36"/>
        </w:numPr>
        <w:rPr>
          <w:lang w:val="en-US"/>
        </w:rPr>
      </w:pPr>
      <w:r>
        <w:rPr>
          <w:lang w:val="en-US"/>
        </w:rPr>
        <w:t>Afternoon temperature-driven load rise</w:t>
      </w:r>
    </w:p>
    <w:p w14:paraId="0D654F8E" w14:textId="77777777" w:rsidR="00BB1329" w:rsidRDefault="00BB1329" w:rsidP="00BB1329">
      <w:pPr>
        <w:pStyle w:val="BodyText"/>
        <w:numPr>
          <w:ilvl w:val="0"/>
          <w:numId w:val="36"/>
        </w:numPr>
        <w:rPr>
          <w:lang w:val="en-US"/>
        </w:rPr>
      </w:pPr>
      <w:r>
        <w:rPr>
          <w:lang w:val="en-US"/>
        </w:rPr>
        <w:t>Evening demand peaks</w:t>
      </w:r>
    </w:p>
    <w:p w14:paraId="02A9B51C" w14:textId="77777777" w:rsidR="00BB1329" w:rsidRPr="005B520E" w:rsidRDefault="00BB1329" w:rsidP="00BB1329">
      <w:pPr>
        <w:pStyle w:val="Heading2"/>
      </w:pPr>
      <w:r>
        <w:lastRenderedPageBreak/>
        <w:t>Season Behaviour</w:t>
      </w:r>
    </w:p>
    <w:p w14:paraId="4395A154" w14:textId="77777777" w:rsidR="00BB1329" w:rsidRDefault="0034389E" w:rsidP="00BB1329">
      <w:pPr>
        <w:pStyle w:val="BodyText"/>
      </w:pPr>
      <w:r>
        <w:t xml:space="preserve">By aggregating results over weeks or months, one can study how peak-hour occurrence shifts with: </w:t>
      </w:r>
    </w:p>
    <w:p w14:paraId="5E5AE929" w14:textId="77777777" w:rsidR="00BB1329" w:rsidRDefault="00BB1329" w:rsidP="00BB1329">
      <w:pPr>
        <w:pStyle w:val="BodyText"/>
        <w:numPr>
          <w:ilvl w:val="0"/>
          <w:numId w:val="36"/>
        </w:numPr>
        <w:rPr>
          <w:lang w:val="en-US"/>
        </w:rPr>
      </w:pPr>
      <w:r>
        <w:rPr>
          <w:lang w:val="en-US"/>
        </w:rPr>
        <w:t>Summer temperature intensity,</w:t>
      </w:r>
    </w:p>
    <w:p w14:paraId="60AFABF9" w14:textId="77777777" w:rsidR="00BB1329" w:rsidRDefault="00BB1329" w:rsidP="00BB1329">
      <w:pPr>
        <w:pStyle w:val="BodyText"/>
        <w:numPr>
          <w:ilvl w:val="0"/>
          <w:numId w:val="36"/>
        </w:numPr>
        <w:rPr>
          <w:lang w:val="en-US"/>
        </w:rPr>
      </w:pPr>
      <w:r>
        <w:rPr>
          <w:lang w:val="en-US"/>
        </w:rPr>
        <w:t>Humidity patterns,</w:t>
      </w:r>
    </w:p>
    <w:p w14:paraId="4E6566BE" w14:textId="77777777" w:rsidR="00BB1329" w:rsidRDefault="00BB1329" w:rsidP="00BB1329">
      <w:pPr>
        <w:pStyle w:val="BodyText"/>
        <w:numPr>
          <w:ilvl w:val="0"/>
          <w:numId w:val="36"/>
        </w:numPr>
        <w:rPr>
          <w:lang w:val="en-US"/>
        </w:rPr>
      </w:pPr>
      <w:r>
        <w:rPr>
          <w:lang w:val="en-US"/>
        </w:rPr>
        <w:t>Changing market price regimes,</w:t>
      </w:r>
    </w:p>
    <w:p w14:paraId="23236775" w14:textId="77777777" w:rsidR="00BB1329" w:rsidRDefault="00BB1329" w:rsidP="00BB1329">
      <w:pPr>
        <w:pStyle w:val="BodyText"/>
        <w:numPr>
          <w:ilvl w:val="0"/>
          <w:numId w:val="36"/>
        </w:numPr>
        <w:rPr>
          <w:lang w:val="en-US"/>
        </w:rPr>
      </w:pPr>
      <w:r>
        <w:rPr>
          <w:lang w:val="en-US"/>
        </w:rPr>
        <w:t>Seasonal demand composition.</w:t>
      </w:r>
    </w:p>
    <w:p w14:paraId="2044C494" w14:textId="77777777" w:rsidR="0034389E" w:rsidRDefault="0034389E" w:rsidP="0034389E">
      <w:pPr>
        <w:pStyle w:val="Heading2"/>
      </w:pPr>
      <w:r>
        <w:t>Relationship Between Physical and Market Signals</w:t>
      </w:r>
    </w:p>
    <w:p w14:paraId="093629C6" w14:textId="77777777" w:rsidR="0034389E" w:rsidRDefault="0034389E" w:rsidP="0034389E">
      <w:pPr>
        <w:pStyle w:val="BodyText"/>
      </w:pPr>
      <w:r>
        <w:t>The combined use of demand and price variables allows the model to identify whether a high-demand block also corresponds to market tightness. This is useful because not every high-demand block necessarily results in high market prices, and not every high-price block corresponds to the absolute maximum demand.</w:t>
      </w:r>
    </w:p>
    <w:p w14:paraId="7DED59C2" w14:textId="77777777" w:rsidR="00BB1329" w:rsidRPr="00D7522C" w:rsidRDefault="00BB1329" w:rsidP="00BB1329">
      <w:pPr>
        <w:pStyle w:val="BodyText"/>
        <w:rPr>
          <w:lang w:val="en-US"/>
        </w:rPr>
      </w:pPr>
    </w:p>
    <w:p w14:paraId="15995699" w14:textId="77777777" w:rsidR="00B35B5A" w:rsidRPr="00D7522C" w:rsidRDefault="00B35B5A" w:rsidP="00B35B5A">
      <w:pPr>
        <w:pStyle w:val="BodyText"/>
        <w:rPr>
          <w:lang w:val="en-US"/>
        </w:rPr>
      </w:pPr>
    </w:p>
    <w:p w14:paraId="369BED72" w14:textId="77777777" w:rsidR="00393927" w:rsidRPr="005B520E" w:rsidRDefault="00393927" w:rsidP="00393927">
      <w:pPr>
        <w:pStyle w:val="BodyText"/>
        <w:ind w:firstLine="0pt"/>
      </w:pPr>
    </w:p>
    <w:p w14:paraId="16F0FB4B" w14:textId="77777777" w:rsidR="009A39D6" w:rsidRDefault="00000000">
      <w:pPr>
        <w:pStyle w:val="Heading1"/>
      </w:pPr>
      <w:r>
        <w:t>Results and Discussion</w:t>
      </w:r>
    </w:p>
    <w:p w14:paraId="35E52DA9" w14:textId="77777777" w:rsidR="009A39D6" w:rsidRDefault="00000000">
      <w:pPr>
        <w:pStyle w:val="BodyText"/>
      </w:pPr>
      <w:r>
        <w:t>The framework was exercised end to end to declare the peak-hour window for a target month, using roughly four years of fifteen-minute history beginning in July 2022. The net-load model is scored on the final ninety-two days by mean absolute error, root-mean-square error, and the coefficient of determination; the RTM ensemble is scored by expanding-window walk-forward cross-validation, reporting per-fold error, per-quantile pinball loss, and cap-hit F1, with the conformal band achieving empirical coverage close to its ninety percent target. The concrete numerical values for a given run are produced automatically as pipeline artifacts and should be inserted here from that run.</w:t>
      </w:r>
    </w:p>
    <w:p w14:paraId="341575D3" w14:textId="77777777" w:rsidR="009A39D6" w:rsidRDefault="00000000">
      <w:pPr>
        <w:pStyle w:val="BodyText"/>
      </w:pPr>
      <w:r>
        <w:t>For the declared month, the recency-weighted aggregation selects a window of the mandated duration in the evening or night period that concentrates on the blocks where forecast net load and forecast RTM price are simultaneously high. The pipeline emits, for each run, the declared window and its pattern, a per-method comparison table, a daily audit workbook giving the average net load, RTM price, bid and cleared volumes, and each component score over the selected blocks, a monthly overview chart, and a single-day diagnostic of net load, RTM price, and their interaction.</w:t>
      </w:r>
    </w:p>
    <w:p w14:paraId="3655F9CB" w14:textId="77777777" w:rsidR="009A39D6" w:rsidRDefault="00000000">
      <w:pPr>
        <w:pStyle w:val="BodyText"/>
      </w:pPr>
      <w:r>
        <w:t xml:space="preserve">Two design choices deserve emphasis. First, treating peak identification as a multivariate score rather than a demand threshold allows the framework to promote blocks that are commercially and operationally significant even when they are not the absolute demand maximum, and to demote high-demand blocks that carry no market stress. Second, the leak-free climatology decomposition, the regime-aware quantile mixture, the conformal band, and the climatology reset beyond the three-day horizon together keep the long-range </w:t>
      </w:r>
      <w:r>
        <w:t>RTM forecast stable, which is essential when the declaration must cover an entire future month. A limitation is that accuracy depends on the quality of the exogenous weather and day-ahead inputs and degrades with forecast horizon; the recency weighting mitigates but does not remove this effect. The 2026 introduction of day-ahead market coupling and the growing incidence of renewable-driven price crashes make continued monitoring of the regime structure advisable.</w:t>
      </w:r>
    </w:p>
    <w:p w14:paraId="1B5CA7EE" w14:textId="77777777" w:rsidR="0080791D" w:rsidRDefault="0080791D" w:rsidP="0080791D">
      <w:pPr>
        <w:pStyle w:val="Heading5"/>
      </w:pPr>
      <w:r>
        <w:t xml:space="preserve">Acknowledgment </w:t>
      </w:r>
      <w:r>
        <w:rPr>
          <w:i/>
          <w:iCs/>
        </w:rPr>
        <w:t>(</w:t>
      </w:r>
      <w:r>
        <w:rPr>
          <w:i/>
          <w:iCs/>
          <w:smallCaps w:val="0"/>
        </w:rPr>
        <w:t>Heading 5</w:t>
      </w:r>
      <w:r>
        <w:rPr>
          <w:i/>
          <w:iCs/>
        </w:rPr>
        <w:t>)</w:t>
      </w:r>
    </w:p>
    <w:p w14:paraId="4CA31E5E" w14:textId="77777777" w:rsidR="00575BCA" w:rsidRDefault="0080791D" w:rsidP="00836367">
      <w:pPr>
        <w:pStyle w:val="BodyText"/>
      </w:pPr>
      <w:r>
        <w:t>The preferred spelling of the word “acknowledgment” in America is without an “e” after the “g”. Avoid the stilted expression “</w:t>
      </w:r>
      <w:r>
        <w:rPr>
          <w:lang w:val="en-US"/>
        </w:rPr>
        <w:t>o</w:t>
      </w:r>
      <w:r>
        <w:t>ne of us (R. B. G.) thanks ...</w:t>
      </w:r>
      <w:r>
        <w:rPr>
          <w:lang w:val="en-US"/>
        </w:rPr>
        <w:t xml:space="preserve">”.  </w:t>
      </w:r>
      <w:r>
        <w:t>Instead, try “R. B. G. thanks...”.</w:t>
      </w:r>
      <w:r>
        <w:rPr>
          <w:lang w:val="en-US"/>
        </w:rPr>
        <w:t xml:space="preserve"> </w:t>
      </w:r>
      <w:r>
        <w:t>Put sponsor acknowledgments in the unnumbered footnote on the first page.</w:t>
      </w:r>
    </w:p>
    <w:p w14:paraId="28D0CBE0" w14:textId="77777777" w:rsidR="009303D9" w:rsidRDefault="009303D9" w:rsidP="00A059B3">
      <w:pPr>
        <w:pStyle w:val="Heading5"/>
      </w:pPr>
      <w:r>
        <w:t>References</w:t>
      </w:r>
    </w:p>
    <w:p w14:paraId="6D2A0E0A" w14:textId="77777777" w:rsidR="009303D9" w:rsidRPr="005B520E" w:rsidRDefault="009303D9" w:rsidP="00E7596C">
      <w:pPr>
        <w:pStyle w:val="BodyText"/>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w14:paraId="01698248" w14:textId="77777777" w:rsidR="009303D9" w:rsidRPr="005B520E" w:rsidRDefault="009303D9" w:rsidP="00E7596C">
      <w:pPr>
        <w:pStyle w:val="BodyText"/>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14:paraId="47B7C651" w14:textId="77777777" w:rsidR="009303D9" w:rsidRPr="005B520E" w:rsidRDefault="009303D9" w:rsidP="00E7596C">
      <w:pPr>
        <w:pStyle w:val="BodyText"/>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03FFA2D" w14:textId="77777777" w:rsidR="009303D9" w:rsidRPr="005B520E" w:rsidRDefault="009303D9" w:rsidP="00E7596C">
      <w:pPr>
        <w:pStyle w:val="BodyText"/>
      </w:pPr>
      <w:r>
        <w:t>For papers published in translation journals, please give the English citation first, followed by the original foreign-language citation [6].</w:t>
      </w:r>
    </w:p>
    <w:p w14:paraId="616D731A" w14:textId="77777777" w:rsidR="009303D9" w:rsidRPr="005B520E" w:rsidRDefault="009303D9"/>
    <w:p w14:paraId="40CEAEB5" w14:textId="77777777" w:rsidR="009A39D6" w:rsidRDefault="00000000">
      <w:pPr>
        <w:pStyle w:val="references"/>
        <w:ind w:start="17.70pt" w:hanging="17.70pt"/>
        <w:jc w:val="start"/>
      </w:pPr>
      <w:r>
        <w:t>Central Electricity Regulatory Commission, “Central Electricity Regulatory Commission (Terms and Conditions of Tariff) Regulations, 2024,” Regulations 62(3) and 65, Notification No. L-1/268/2022/CERC, New Delhi, India, 15 Mar. 2024.</w:t>
      </w:r>
    </w:p>
    <w:p w14:paraId="5411270D" w14:textId="77777777" w:rsidR="009A39D6" w:rsidRDefault="00000000">
      <w:pPr>
        <w:pStyle w:val="references"/>
        <w:ind w:start="17.70pt" w:hanging="17.70pt"/>
        <w:jc w:val="start"/>
      </w:pPr>
      <w:r>
        <w:t>Central Electricity Regulatory Commission, “Central Electricity Regulatory Commission (Indian Electricity Grid Code) Regulations, 2023,” Regulations 31 and 127, Notification No. L-1/265/2022/CERC, New Delhi, India, 29 May 2023.</w:t>
      </w:r>
    </w:p>
    <w:p w14:paraId="3113FAA3" w14:textId="77777777" w:rsidR="008147B5" w:rsidRDefault="008147B5" w:rsidP="008147B5">
      <w:pPr>
        <w:pStyle w:val="references"/>
        <w:numPr>
          <w:ilvl w:val="0"/>
          <w:numId w:val="0"/>
        </w:numPr>
        <w:ind w:start="17.70pt"/>
      </w:pPr>
    </w:p>
    <w:p w14:paraId="6682FBAE" w14:textId="77777777" w:rsidR="009303D9" w:rsidRDefault="009303D9" w:rsidP="00836367">
      <w:pPr>
        <w:pStyle w:val="references"/>
        <w:numPr>
          <w:ilvl w:val="0"/>
          <w:numId w:val="0"/>
        </w:numPr>
        <w:ind w:start="18pt" w:hanging="18pt"/>
      </w:pPr>
    </w:p>
    <w:p w14:paraId="49FE3274"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noProof w:val="0"/>
          <w:color w:val="FF0000"/>
          <w:spacing w:val="-1"/>
          <w:sz w:val="20"/>
          <w:szCs w:val="20"/>
          <w:lang w:eastAsia="x-none"/>
        </w:rPr>
        <w:t>may</w:t>
      </w:r>
      <w:r>
        <w:rPr>
          <w:rFonts w:eastAsia="SimSun"/>
          <w:b/>
          <w:noProof w:val="0"/>
          <w:color w:val="FF0000"/>
          <w:spacing w:val="-1"/>
          <w:sz w:val="20"/>
          <w:szCs w:val="20"/>
          <w:lang w:val="x-none" w:eastAsia="x-none"/>
        </w:rPr>
        <w:t xml:space="preserve"> result in your paper not being published.</w:t>
      </w:r>
    </w:p>
    <w:p w14:paraId="37E269BA" w14:textId="77777777" w:rsidR="009303D9" w:rsidRDefault="003B2B40" w:rsidP="005B520E">
      <w:r>
        <w:rPr>
          <w:noProof/>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B15CF6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EC1A9DB"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42A5133" w14:textId="77777777" w:rsidR="00A6565D" w:rsidRDefault="00A6565D" w:rsidP="001A3B3D">
      <w:r>
        <w:separator/>
      </w:r>
    </w:p>
  </w:endnote>
  <w:endnote w:type="continuationSeparator" w:id="0">
    <w:p w14:paraId="3CFF9590" w14:textId="77777777" w:rsidR="00A6565D" w:rsidRDefault="00A6565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15BC2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2824B79" w14:textId="77777777" w:rsidR="00A6565D" w:rsidRDefault="00A6565D" w:rsidP="001A3B3D">
      <w:r>
        <w:separator/>
      </w:r>
    </w:p>
  </w:footnote>
  <w:footnote w:type="continuationSeparator" w:id="0">
    <w:p w14:paraId="24E5F72B" w14:textId="77777777" w:rsidR="00A6565D" w:rsidRDefault="00A6565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BF07C5"/>
    <w:multiLevelType w:val="hybridMultilevel"/>
    <w:tmpl w:val="9AB825E0"/>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2" w15:restartNumberingAfterBreak="0">
    <w:nsid w:val="07DD5CC3"/>
    <w:multiLevelType w:val="hybridMultilevel"/>
    <w:tmpl w:val="BF967F4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67C7C67"/>
    <w:multiLevelType w:val="hybridMultilevel"/>
    <w:tmpl w:val="A8F09EC2"/>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17" w15:restartNumberingAfterBreak="0">
    <w:nsid w:val="36A33A7C"/>
    <w:multiLevelType w:val="hybridMultilevel"/>
    <w:tmpl w:val="D28002F4"/>
    <w:lvl w:ilvl="0" w:tplc="40090001">
      <w:start w:val="1"/>
      <w:numFmt w:val="bullet"/>
      <w:lvlText w:val=""/>
      <w:lvlJc w:val="start"/>
      <w:pPr>
        <w:ind w:start="86.40pt" w:hanging="18pt"/>
      </w:pPr>
      <w:rPr>
        <w:rFonts w:ascii="Symbol" w:hAnsi="Symbol" w:hint="default"/>
      </w:rPr>
    </w:lvl>
    <w:lvl w:ilvl="1" w:tplc="40090003" w:tentative="1">
      <w:start w:val="1"/>
      <w:numFmt w:val="bullet"/>
      <w:lvlText w:val="o"/>
      <w:lvlJc w:val="start"/>
      <w:pPr>
        <w:ind w:start="122.40pt" w:hanging="18pt"/>
      </w:pPr>
      <w:rPr>
        <w:rFonts w:ascii="Courier New" w:hAnsi="Courier New" w:cs="Courier New" w:hint="default"/>
      </w:rPr>
    </w:lvl>
    <w:lvl w:ilvl="2" w:tplc="40090005" w:tentative="1">
      <w:start w:val="1"/>
      <w:numFmt w:val="bullet"/>
      <w:lvlText w:val=""/>
      <w:lvlJc w:val="start"/>
      <w:pPr>
        <w:ind w:start="158.40pt" w:hanging="18pt"/>
      </w:pPr>
      <w:rPr>
        <w:rFonts w:ascii="Wingdings" w:hAnsi="Wingdings" w:hint="default"/>
      </w:rPr>
    </w:lvl>
    <w:lvl w:ilvl="3" w:tplc="40090001" w:tentative="1">
      <w:start w:val="1"/>
      <w:numFmt w:val="bullet"/>
      <w:lvlText w:val=""/>
      <w:lvlJc w:val="start"/>
      <w:pPr>
        <w:ind w:start="194.40pt" w:hanging="18pt"/>
      </w:pPr>
      <w:rPr>
        <w:rFonts w:ascii="Symbol" w:hAnsi="Symbol" w:hint="default"/>
      </w:rPr>
    </w:lvl>
    <w:lvl w:ilvl="4" w:tplc="40090003" w:tentative="1">
      <w:start w:val="1"/>
      <w:numFmt w:val="bullet"/>
      <w:lvlText w:val="o"/>
      <w:lvlJc w:val="start"/>
      <w:pPr>
        <w:ind w:start="230.40pt" w:hanging="18pt"/>
      </w:pPr>
      <w:rPr>
        <w:rFonts w:ascii="Courier New" w:hAnsi="Courier New" w:cs="Courier New" w:hint="default"/>
      </w:rPr>
    </w:lvl>
    <w:lvl w:ilvl="5" w:tplc="40090005" w:tentative="1">
      <w:start w:val="1"/>
      <w:numFmt w:val="bullet"/>
      <w:lvlText w:val=""/>
      <w:lvlJc w:val="start"/>
      <w:pPr>
        <w:ind w:start="266.40pt" w:hanging="18pt"/>
      </w:pPr>
      <w:rPr>
        <w:rFonts w:ascii="Wingdings" w:hAnsi="Wingdings" w:hint="default"/>
      </w:rPr>
    </w:lvl>
    <w:lvl w:ilvl="6" w:tplc="40090001" w:tentative="1">
      <w:start w:val="1"/>
      <w:numFmt w:val="bullet"/>
      <w:lvlText w:val=""/>
      <w:lvlJc w:val="start"/>
      <w:pPr>
        <w:ind w:start="302.40pt" w:hanging="18pt"/>
      </w:pPr>
      <w:rPr>
        <w:rFonts w:ascii="Symbol" w:hAnsi="Symbol" w:hint="default"/>
      </w:rPr>
    </w:lvl>
    <w:lvl w:ilvl="7" w:tplc="40090003" w:tentative="1">
      <w:start w:val="1"/>
      <w:numFmt w:val="bullet"/>
      <w:lvlText w:val="o"/>
      <w:lvlJc w:val="start"/>
      <w:pPr>
        <w:ind w:start="338.40pt" w:hanging="18pt"/>
      </w:pPr>
      <w:rPr>
        <w:rFonts w:ascii="Courier New" w:hAnsi="Courier New" w:cs="Courier New" w:hint="default"/>
      </w:rPr>
    </w:lvl>
    <w:lvl w:ilvl="8" w:tplc="40090005" w:tentative="1">
      <w:start w:val="1"/>
      <w:numFmt w:val="bullet"/>
      <w:lvlText w:val=""/>
      <w:lvlJc w:val="start"/>
      <w:pPr>
        <w:ind w:start="374.40pt" w:hanging="18pt"/>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2.2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8796694"/>
    <w:multiLevelType w:val="hybridMultilevel"/>
    <w:tmpl w:val="FF4231C4"/>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4" w15:restartNumberingAfterBreak="0">
    <w:nsid w:val="5C516140"/>
    <w:multiLevelType w:val="hybridMultilevel"/>
    <w:tmpl w:val="4C04CB12"/>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5" w15:restartNumberingAfterBreak="0">
    <w:nsid w:val="5CDD41E3"/>
    <w:multiLevelType w:val="hybridMultilevel"/>
    <w:tmpl w:val="E3D2880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6" w15:restartNumberingAfterBreak="0">
    <w:nsid w:val="5FEC3C80"/>
    <w:multiLevelType w:val="hybridMultilevel"/>
    <w:tmpl w:val="84F64CAA"/>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7" w15:restartNumberingAfterBreak="0">
    <w:nsid w:val="63AC1136"/>
    <w:multiLevelType w:val="hybridMultilevel"/>
    <w:tmpl w:val="FDDA2976"/>
    <w:lvl w:ilvl="0" w:tplc="40090001">
      <w:start w:val="1"/>
      <w:numFmt w:val="bullet"/>
      <w:lvlText w:val=""/>
      <w:lvlJc w:val="start"/>
      <w:pPr>
        <w:ind w:start="50.20pt" w:hanging="18pt"/>
      </w:pPr>
      <w:rPr>
        <w:rFonts w:ascii="Symbol" w:hAnsi="Symbol" w:hint="default"/>
      </w:rPr>
    </w:lvl>
    <w:lvl w:ilvl="1" w:tplc="40090003" w:tentative="1">
      <w:start w:val="1"/>
      <w:numFmt w:val="bullet"/>
      <w:lvlText w:val="o"/>
      <w:lvlJc w:val="start"/>
      <w:pPr>
        <w:ind w:start="86.20pt" w:hanging="18pt"/>
      </w:pPr>
      <w:rPr>
        <w:rFonts w:ascii="Courier New" w:hAnsi="Courier New" w:cs="Courier New" w:hint="default"/>
      </w:rPr>
    </w:lvl>
    <w:lvl w:ilvl="2" w:tplc="40090005" w:tentative="1">
      <w:start w:val="1"/>
      <w:numFmt w:val="bullet"/>
      <w:lvlText w:val=""/>
      <w:lvlJc w:val="start"/>
      <w:pPr>
        <w:ind w:start="122.20pt" w:hanging="18pt"/>
      </w:pPr>
      <w:rPr>
        <w:rFonts w:ascii="Wingdings" w:hAnsi="Wingdings" w:hint="default"/>
      </w:rPr>
    </w:lvl>
    <w:lvl w:ilvl="3" w:tplc="40090001" w:tentative="1">
      <w:start w:val="1"/>
      <w:numFmt w:val="bullet"/>
      <w:lvlText w:val=""/>
      <w:lvlJc w:val="start"/>
      <w:pPr>
        <w:ind w:start="158.20pt" w:hanging="18pt"/>
      </w:pPr>
      <w:rPr>
        <w:rFonts w:ascii="Symbol" w:hAnsi="Symbol" w:hint="default"/>
      </w:rPr>
    </w:lvl>
    <w:lvl w:ilvl="4" w:tplc="40090003" w:tentative="1">
      <w:start w:val="1"/>
      <w:numFmt w:val="bullet"/>
      <w:lvlText w:val="o"/>
      <w:lvlJc w:val="start"/>
      <w:pPr>
        <w:ind w:start="194.20pt" w:hanging="18pt"/>
      </w:pPr>
      <w:rPr>
        <w:rFonts w:ascii="Courier New" w:hAnsi="Courier New" w:cs="Courier New" w:hint="default"/>
      </w:rPr>
    </w:lvl>
    <w:lvl w:ilvl="5" w:tplc="40090005" w:tentative="1">
      <w:start w:val="1"/>
      <w:numFmt w:val="bullet"/>
      <w:lvlText w:val=""/>
      <w:lvlJc w:val="start"/>
      <w:pPr>
        <w:ind w:start="230.20pt" w:hanging="18pt"/>
      </w:pPr>
      <w:rPr>
        <w:rFonts w:ascii="Wingdings" w:hAnsi="Wingdings" w:hint="default"/>
      </w:rPr>
    </w:lvl>
    <w:lvl w:ilvl="6" w:tplc="40090001" w:tentative="1">
      <w:start w:val="1"/>
      <w:numFmt w:val="bullet"/>
      <w:lvlText w:val=""/>
      <w:lvlJc w:val="start"/>
      <w:pPr>
        <w:ind w:start="266.20pt" w:hanging="18pt"/>
      </w:pPr>
      <w:rPr>
        <w:rFonts w:ascii="Symbol" w:hAnsi="Symbol" w:hint="default"/>
      </w:rPr>
    </w:lvl>
    <w:lvl w:ilvl="7" w:tplc="40090003" w:tentative="1">
      <w:start w:val="1"/>
      <w:numFmt w:val="bullet"/>
      <w:lvlText w:val="o"/>
      <w:lvlJc w:val="start"/>
      <w:pPr>
        <w:ind w:start="302.20pt" w:hanging="18pt"/>
      </w:pPr>
      <w:rPr>
        <w:rFonts w:ascii="Courier New" w:hAnsi="Courier New" w:cs="Courier New" w:hint="default"/>
      </w:rPr>
    </w:lvl>
    <w:lvl w:ilvl="8" w:tplc="40090005" w:tentative="1">
      <w:start w:val="1"/>
      <w:numFmt w:val="bullet"/>
      <w:lvlText w:val=""/>
      <w:lvlJc w:val="start"/>
      <w:pPr>
        <w:ind w:start="338.20pt" w:hanging="18pt"/>
      </w:pPr>
      <w:rPr>
        <w:rFonts w:ascii="Wingdings" w:hAnsi="Wingdings" w:hint="default"/>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9138C3"/>
    <w:multiLevelType w:val="hybridMultilevel"/>
    <w:tmpl w:val="B498CD0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6EDA72E9"/>
    <w:multiLevelType w:val="hybridMultilevel"/>
    <w:tmpl w:val="318A02A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32" w15:restartNumberingAfterBreak="0">
    <w:nsid w:val="74815C38"/>
    <w:multiLevelType w:val="hybridMultilevel"/>
    <w:tmpl w:val="4CB06E76"/>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18"/>
  </w:num>
  <w:num w:numId="2" w16cid:durableId="568543031">
    <w:abstractNumId w:val="28"/>
  </w:num>
  <w:num w:numId="3" w16cid:durableId="1207790780">
    <w:abstractNumId w:val="15"/>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2"/>
  </w:num>
  <w:num w:numId="9" w16cid:durableId="231694775">
    <w:abstractNumId w:val="30"/>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396658496">
    <w:abstractNumId w:val="25"/>
  </w:num>
  <w:num w:numId="26" w16cid:durableId="591358137">
    <w:abstractNumId w:val="24"/>
  </w:num>
  <w:num w:numId="27" w16cid:durableId="1187866005">
    <w:abstractNumId w:val="23"/>
  </w:num>
  <w:num w:numId="28" w16cid:durableId="1228876925">
    <w:abstractNumId w:val="26"/>
  </w:num>
  <w:num w:numId="29" w16cid:durableId="536165862">
    <w:abstractNumId w:val="31"/>
  </w:num>
  <w:num w:numId="30" w16cid:durableId="1662998284">
    <w:abstractNumId w:val="17"/>
  </w:num>
  <w:num w:numId="31" w16cid:durableId="358358250">
    <w:abstractNumId w:val="32"/>
  </w:num>
  <w:num w:numId="32" w16cid:durableId="1309437137">
    <w:abstractNumId w:val="29"/>
  </w:num>
  <w:num w:numId="33" w16cid:durableId="1006251566">
    <w:abstractNumId w:val="27"/>
  </w:num>
  <w:num w:numId="34" w16cid:durableId="1516533285">
    <w:abstractNumId w:val="16"/>
  </w:num>
  <w:num w:numId="35" w16cid:durableId="539172238">
    <w:abstractNumId w:val="11"/>
  </w:num>
  <w:num w:numId="36" w16cid:durableId="936864284">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57A"/>
    <w:rsid w:val="0004781E"/>
    <w:rsid w:val="0008758A"/>
    <w:rsid w:val="000C1E68"/>
    <w:rsid w:val="00152E6E"/>
    <w:rsid w:val="001A2EFD"/>
    <w:rsid w:val="001A3B3D"/>
    <w:rsid w:val="001B67DC"/>
    <w:rsid w:val="00214B61"/>
    <w:rsid w:val="002254A9"/>
    <w:rsid w:val="00233D97"/>
    <w:rsid w:val="002347A2"/>
    <w:rsid w:val="002414A5"/>
    <w:rsid w:val="00284D4F"/>
    <w:rsid w:val="002850E3"/>
    <w:rsid w:val="002A3C81"/>
    <w:rsid w:val="002C5DF4"/>
    <w:rsid w:val="0034389E"/>
    <w:rsid w:val="00354FCF"/>
    <w:rsid w:val="0038445E"/>
    <w:rsid w:val="00393927"/>
    <w:rsid w:val="003A19E2"/>
    <w:rsid w:val="003B2B40"/>
    <w:rsid w:val="003B4E04"/>
    <w:rsid w:val="003F5A08"/>
    <w:rsid w:val="00420716"/>
    <w:rsid w:val="004325FB"/>
    <w:rsid w:val="004432BA"/>
    <w:rsid w:val="0044407E"/>
    <w:rsid w:val="00447BB9"/>
    <w:rsid w:val="0046031D"/>
    <w:rsid w:val="00473AC9"/>
    <w:rsid w:val="004D72B5"/>
    <w:rsid w:val="00551B7F"/>
    <w:rsid w:val="00554BB2"/>
    <w:rsid w:val="0056610F"/>
    <w:rsid w:val="00575BCA"/>
    <w:rsid w:val="005B0344"/>
    <w:rsid w:val="005B520E"/>
    <w:rsid w:val="005D62FD"/>
    <w:rsid w:val="005E2800"/>
    <w:rsid w:val="00605825"/>
    <w:rsid w:val="00645D22"/>
    <w:rsid w:val="00651A08"/>
    <w:rsid w:val="00654204"/>
    <w:rsid w:val="00670434"/>
    <w:rsid w:val="006A5D82"/>
    <w:rsid w:val="006B6B66"/>
    <w:rsid w:val="006F6D3D"/>
    <w:rsid w:val="00715BEA"/>
    <w:rsid w:val="00740EEA"/>
    <w:rsid w:val="007664A6"/>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A39D6"/>
    <w:rsid w:val="009F1D79"/>
    <w:rsid w:val="009F50CE"/>
    <w:rsid w:val="00A059B3"/>
    <w:rsid w:val="00A6565D"/>
    <w:rsid w:val="00AE3409"/>
    <w:rsid w:val="00B11A60"/>
    <w:rsid w:val="00B22613"/>
    <w:rsid w:val="00B35B5A"/>
    <w:rsid w:val="00B44A76"/>
    <w:rsid w:val="00B768D1"/>
    <w:rsid w:val="00BA1025"/>
    <w:rsid w:val="00BB1329"/>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82173"/>
    <w:rsid w:val="00E07383"/>
    <w:rsid w:val="00E165BC"/>
    <w:rsid w:val="00E61E12"/>
    <w:rsid w:val="00E7596C"/>
    <w:rsid w:val="00E878F2"/>
    <w:rsid w:val="00ED0149"/>
    <w:rsid w:val="00EF7DE3"/>
    <w:rsid w:val="00F02772"/>
    <w:rsid w:val="00F03103"/>
    <w:rsid w:val="00F271DE"/>
    <w:rsid w:val="00F50A5E"/>
    <w:rsid w:val="00F627DA"/>
    <w:rsid w:val="00F7288F"/>
    <w:rsid w:val="00F847A6"/>
    <w:rsid w:val="00F9441B"/>
    <w:rsid w:val="00FA4275"/>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21FFA7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tabs>
        <w:tab w:val="clear" w:pos="32.20pt"/>
        <w:tab w:val="num" w:pos="27pt"/>
      </w:tabs>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2414A5"/>
    <w:rPr>
      <w:i/>
      <w:iCs/>
      <w:noProof/>
    </w:rPr>
  </w:style>
  <w:style w:type="character" w:customStyle="1" w:styleId="Heading1Char">
    <w:name w:val="Heading 1 Char"/>
    <w:basedOn w:val="DefaultParagraphFont"/>
    <w:link w:val="Heading1"/>
    <w:rsid w:val="00554BB2"/>
    <w:rPr>
      <w:smallCaps/>
      <w:noProof/>
    </w:rPr>
  </w:style>
  <w:style w:type="character" w:styleId="PlaceholderText">
    <w:name w:val="Placeholder Text"/>
    <w:basedOn w:val="DefaultParagraphFont"/>
    <w:uiPriority w:val="99"/>
    <w:semiHidden/>
    <w:rsid w:val="005D62FD"/>
    <w:rPr>
      <w:color w:val="666666"/>
    </w:rPr>
  </w:style>
  <w:style w:type="character" w:customStyle="1" w:styleId="Heading4Char">
    <w:name w:val="Heading 4 Char"/>
    <w:basedOn w:val="DefaultParagraphFont"/>
    <w:link w:val="Heading4"/>
    <w:rsid w:val="00B35B5A"/>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135</TotalTime>
  <Pages>7</Pages>
  <Words>4799</Words>
  <Characters>27356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Chintan Meena</cp:lastModifiedBy>
  <cp:revision>8</cp:revision>
  <dcterms:created xsi:type="dcterms:W3CDTF">2024-07-16T13:42:00Z</dcterms:created>
  <dcterms:modified xsi:type="dcterms:W3CDTF">2026-08-24T09:14:00Z</dcterms:modified>
</cp:coreProperties>
</file>