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http://purl.oclc.org/ooxml/officeDocument/math" xmlns:ns1="http://schemas.openxmlformats.org/markup-compatibility/2006" xmlns:ns2="http://schemas.microsoft.com/office/word/2010/wordml" xmlns:ns5="http://purl.oclc.org/ooxml/drawingml/wordprocessingDrawing" xmlns:ns6="http://schemas.microsoft.com/office/word/2010/wordprocessingDrawing" xmlns:ns7="http://purl.oclc.org/ooxml/drawingml/main" xmlns:ns8="http://schemas.microsoft.com/office/word/2006/wordml" xmlns:r="http://purl.oclc.org/ooxml/officeDocument/relationships" xmlns:w="http://purl.oclc.org/ooxml/wordprocessingml/main" ns1:Ignorable="w14 w15 w16se w16cid w16 w16cex w16sdtdh w16sdtfl w16du wne wp14" w:conformance="strict">
  <w:body>
    <w:p ns2:paraId="2E244BC1" ns2:textId="77777777" w:rsidR="009303D9" w:rsidRPr="008B6524" w:rsidRDefault="009303D9" w:rsidP="008B6524">
      <w:pPr>
        <w:pStyle w:val="papertitle"/>
        <w:spacing w:before="5pt" w:beforeAutospacing="1" w:after="5pt" w:afterAutospacing="1"/>
        <w:rPr>
          <w:kern w:val="48"/>
        </w:rPr>
      </w:pPr>
      <w:r>
        <w:rPr>
          <w:kern w:val="48"/>
        </w:rPr>
        <w:t xml:space="preserve">How Much Forecast Skill Does a Peak-Hour Declaration Need? A Six-Year Value-Capture Assessment for the Northern Region</w:t>
      </w:r>
    </w:p>
    <w:p ns2:paraId="417AFBBD" ns2:textId="77777777" w:rsidR="009303D9" w:rsidRDefault="00D7522C" w:rsidP="008B6524">
      <w:pPr>
        <w:pStyle w:val="Author"/>
        <w:spacing w:before="5pt" w:beforeAutospacing="1" w:after="5pt" w:afterAutospacing="1"/>
        <w:rPr>
          <w:sz w:val="16"/>
          <w:szCs w:val="16"/>
        </w:rPr>
      </w:pPr>
      <w:r>
        <w:rPr>
          <w:sz w:val="16"/>
          <w:szCs w:val="16"/>
        </w:rPr>
        <w:t>*Note: Sub-titles are not captured in Xplore and should not be used</w:t>
      </w:r>
    </w:p>
    <w:p ns2:paraId="26184639" ns2:textId="77777777" w:rsidR="00D7522C" w:rsidRDefault="00D7522C" w:rsidP="003B4E04">
      <w:pPr>
        <w:pStyle w:val="Author"/>
        <w:spacing w:before="5pt" w:beforeAutospacing="1" w:after="5pt" w:afterAutospacing="1" w:line="6pt" w:lineRule="auto"/>
        <w:rPr>
          <w:sz w:val="16"/>
          <w:szCs w:val="16"/>
        </w:rPr>
      </w:pPr>
    </w:p>
    <w:p ns2:paraId="0C4AB3E7" ns2: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ns2:paraId="28E46B6D" ns2:textId="77777777" w:rsidR="00BD670B" w:rsidRDefault="009303D9" w:rsidP="00BD670B">
      <w:pPr>
        <w:pStyle w:val="Author"/>
        <w:spacing w:before="5pt" w:beforeAutospacing="1"/>
        <w:rPr>
          <w:sz w:val="18"/>
          <w:szCs w:val="18"/>
        </w:rPr>
      </w:pPr>
      <w:r>
        <w:rPr>
          <w:sz w:val="18"/>
          <w:szCs w:val="18"/>
        </w:rPr>
        <w:t>line 1: 1</w:t>
      </w:r>
      <w:r>
        <w:rPr>
          <w:sz w:val="18"/>
          <w:szCs w:val="18"/>
          <w:vertAlign w:val="superscript"/>
        </w:rPr>
        <w:t>st</w:t>
      </w:r>
      <w:r>
        <w:rPr>
          <w:sz w:val="18"/>
          <w:szCs w:val="18"/>
        </w:rPr>
        <w:t xml:space="preserve"> Given Name Surname </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p>
    <w:p ns2:paraId="5DFA0B83" ns2:textId="77777777" w:rsidR="001A3B3D" w:rsidRPr="00F847A6" w:rsidRDefault="00447BB9" w:rsidP="007B6DDA">
      <w:pPr>
        <w:pStyle w:val="Author"/>
        <w:spacing w:before="5pt" w:beforeAutospacing="1"/>
        <w:rPr>
          <w:sz w:val="18"/>
          <w:szCs w:val="18"/>
        </w:rPr>
      </w:pPr>
      <w:r>
        <w:rPr>
          <w:sz w:val="18"/>
          <w:szCs w:val="18"/>
        </w:rPr>
        <w:t>line 1: 4</w:t>
      </w:r>
      <w:r>
        <w:rPr>
          <w:sz w:val="18"/>
          <w:szCs w:val="18"/>
          <w:vertAlign w:val="superscript"/>
        </w:rPr>
        <w:t>th</w:t>
      </w:r>
      <w:r>
        <w:rPr>
          <w:sz w:val="18"/>
          <w:szCs w:val="18"/>
        </w:rPr>
        <w:t xml:space="preserve"> Given Name Surname</w:t>
      </w:r>
      <w:r>
        <w:rPr>
          <w:sz w:val="18"/>
          <w:szCs w:val="18"/>
        </w:rPr>
        <w:br/>
        <w:t xml:space="preserve">line 2: </w:t>
      </w:r>
      <w:r>
        <w:rPr>
          <w:i/>
          <w:sz w:val="18"/>
          <w:szCs w:val="18"/>
        </w:rPr>
        <w:t>dept. name of organization</w:t>
      </w:r>
      <w:r>
        <w:rPr>
          <w:sz w:val="18"/>
          <w:szCs w:val="18"/>
        </w:rPr>
        <w:br/>
      </w:r>
      <w:r>
        <w:rPr>
          <w:i/>
          <w:sz w:val="18"/>
          <w:szCs w:val="18"/>
        </w:rP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r>
        <w:rPr>
          <w:sz w:val="18"/>
          <w:szCs w:val="18"/>
        </w:rPr>
        <w:br w:type="column"/>
      </w:r>
      <w:r>
        <w:rPr>
          <w:sz w:val="18"/>
          <w:szCs w:val="18"/>
        </w:rPr>
        <w:t>line 1: 2</w:t>
      </w:r>
      <w:r>
        <w:rPr>
          <w:sz w:val="18"/>
          <w:szCs w:val="18"/>
          <w:vertAlign w:val="superscript"/>
        </w:rPr>
        <w:t>nd</w:t>
      </w:r>
      <w:r>
        <w:rPr>
          <w:sz w:val="18"/>
          <w:szCs w:val="18"/>
        </w:rPr>
        <w:t xml:space="preserve"> Given Name Surname</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p>
    <w:p ns2:paraId="5C989567" ns2:textId="77777777" w:rsidR="001A3B3D" w:rsidRPr="00F847A6" w:rsidRDefault="00447BB9" w:rsidP="00447BB9">
      <w:pPr>
        <w:pStyle w:val="Author"/>
        <w:spacing w:before="5pt" w:beforeAutospacing="1"/>
        <w:rPr>
          <w:sz w:val="18"/>
          <w:szCs w:val="18"/>
        </w:rPr>
      </w:pPr>
      <w:r>
        <w:rPr>
          <w:sz w:val="18"/>
          <w:szCs w:val="18"/>
        </w:rPr>
        <w:t>line 1: 5</w:t>
      </w:r>
      <w:r>
        <w:rPr>
          <w:sz w:val="18"/>
          <w:szCs w:val="18"/>
          <w:vertAlign w:val="superscript"/>
        </w:rPr>
        <w:t>th</w:t>
      </w:r>
      <w:r>
        <w:rPr>
          <w:sz w:val="18"/>
          <w:szCs w:val="18"/>
        </w:rPr>
        <w:t xml:space="preserve"> Given Name Surname</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r>
        <w:rPr>
          <w:sz w:val="18"/>
          <w:szCs w:val="18"/>
        </w:rPr>
        <w:br w:type="column"/>
      </w:r>
      <w:r>
        <w:rPr>
          <w:sz w:val="18"/>
          <w:szCs w:val="18"/>
        </w:rPr>
        <w:t>line 1: 3</w:t>
      </w:r>
      <w:r>
        <w:rPr>
          <w:sz w:val="18"/>
          <w:szCs w:val="18"/>
          <w:vertAlign w:val="superscript"/>
        </w:rPr>
        <w:t>rd</w:t>
      </w:r>
      <w:r>
        <w:rPr>
          <w:sz w:val="18"/>
          <w:szCs w:val="18"/>
        </w:rPr>
        <w:t xml:space="preserve"> Given Name Surname</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p>
    <w:p ns2:paraId="64A87113" ns2:textId="77777777" w:rsidR="00447BB9" w:rsidRDefault="00447BB9" w:rsidP="00447BB9">
      <w:pPr>
        <w:pStyle w:val="Author"/>
        <w:spacing w:before="5pt" w:beforeAutospacing="1"/>
      </w:pPr>
      <w:r>
        <w:rPr>
          <w:sz w:val="18"/>
          <w:szCs w:val="18"/>
        </w:rPr>
        <w:t>line 1: 6</w:t>
      </w:r>
      <w:r>
        <w:rPr>
          <w:sz w:val="18"/>
          <w:szCs w:val="18"/>
          <w:vertAlign w:val="superscript"/>
        </w:rPr>
        <w:t>th</w:t>
      </w:r>
      <w:r>
        <w:rPr>
          <w:sz w:val="18"/>
          <w:szCs w:val="18"/>
        </w:rPr>
        <w:t xml:space="preserve"> Given Name Surname</w:t>
      </w:r>
      <w:r>
        <w:rPr>
          <w:sz w:val="18"/>
          <w:szCs w:val="18"/>
        </w:rPr>
        <w:br/>
        <w:t xml:space="preserve">line 2: </w:t>
      </w:r>
      <w:r>
        <w:rPr>
          <w:i/>
          <w:sz w:val="18"/>
          <w:szCs w:val="18"/>
        </w:rPr>
        <w:t xml:space="preserve">dept. name of organization </w:t>
      </w:r>
      <w:r>
        <w:rPr>
          <w:i/>
          <w:sz w:val="18"/>
          <w:szCs w:val="18"/>
        </w:rPr>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r>
      <w:r>
        <w:rPr>
          <w:i/>
          <w:sz w:val="18"/>
          <w:szCs w:val="18"/>
        </w:rPr>
        <w:br/>
        <w:t>(of Affiliation)</w:t>
      </w:r>
      <w:r>
        <w:rPr>
          <w:i/>
          <w:sz w:val="18"/>
          <w:szCs w:val="18"/>
        </w:rPr>
        <w:br/>
      </w:r>
      <w:r>
        <w:rPr>
          <w:sz w:val="18"/>
          <w:szCs w:val="18"/>
        </w:rPr>
        <w:t>line 4: City, Country</w:t>
      </w:r>
      <w:r>
        <w:rPr>
          <w:sz w:val="18"/>
          <w:szCs w:val="18"/>
        </w:rPr>
        <w:br/>
        <w:t>line 5: email address or ORCID</w:t>
      </w:r>
      <w:r>
        <w:t xml:space="preserve"> </w:t>
      </w:r>
    </w:p>
    <w:p ns2:paraId="2D06CBE2" ns2: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ns2:paraId="78C858BE" ns2: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ns2:paraId="39016157" ns2:textId="77777777" w:rsidR="009A39D6" w:rsidRDefault="00000000">
      <w:pPr>
        <w:pStyle w:val="Abstract"/>
        <w:rPr>
          <w:i/>
          <w:iCs/>
        </w:rPr>
      </w:pPr>
      <w:r>
        <w:rPr>
          <w:i/>
          <w:iCs/>
        </w:rPr>
        <w:t xml:space="preserve">Abstract—Accurate declaration of peak-demand time blocks is a core requirement for power-system operation, procurement, and market strategy. Under the CERC (Terms and Conditions of Tariff) Regulations, 2024, the concerned Regional Load Despatch Centre (RLDC) must declare the daily peak hours at least one week in advance and align them with the region's actual peak to the maximum extent possible: four hours for thermal generating stations and three hours for hydro. This paper presents a data-driven framework that declares both windows for a future month in the Northern Region (NR) at the regulatory fifteen-minute time-block resolution, and - equally important - measures how much such a declaration is actually worth. Net load is forecast with gradient-boosted regression trees from an exogenous-only feature set, and RTM price with a three-regime hurdle-quantile ensemble that decomposes price into a leak-free seasonal climatology plus a learned deviation and calibrates its band by split-conformal inference. Crucially, every model is validated at the horizon at which the declaration is issued, ten to forty days ahead, rather than one block ahead. Under that horizon the forecasting stack is weak - RTM mean absolute error 1,143 Rs/MWh against 366 one block ahead, and conformal coverage 81.3 percent against a 90 percent target on a disjoint test slice - yet the declaration itself is barely affected, because a seasonal-naive rule that repeats last year's optimal window already captures 98.3 percent of the achievable value. The contribution is therefore reframed around what the decision needs rather than what the forecast achieves: over six years of real declarations the incumbent manual process captures 90.7 percent of the length-matched ex-post optimum, and a transparent single-signal rule for the hydro window places the declaration on 8.6 percentage points more grid-frequency stress than the incumbent, rising to 12.7 points in winter. All results are produced by a reproducible, provenance-tracked pipeline.</w:t>
      </w:r>
    </w:p>
    <w:p ns2:paraId="05002B3D" ns2:textId="77777777" w:rsidR="009303D9" w:rsidRPr="004D72B5" w:rsidRDefault="004D72B5" w:rsidP="00972203">
      <w:pPr>
        <w:pStyle w:val="Keywords"/>
      </w:pPr>
      <w:r>
        <w:t xml:space="preserve">Keywords—peak load, peak-hour declaration, net-load forecasting, real-time market price, gradient boosting, quantile regression, conformal prediction, horizon-matched validation, value capture, grid frequency, Northern Region grid</w:t>
      </w:r>
    </w:p>
    <w:p ns2:paraId="72877476" ns2:textId="77777777" w:rsidR="009303D9" w:rsidRPr="00D632BE" w:rsidRDefault="009303D9" w:rsidP="006B6B66">
      <w:pPr>
        <w:pStyle w:val="Heading1"/>
      </w:pPr>
      <w:r>
        <w:t>Introduction</w:t>
      </w:r>
    </w:p>
    <w:p ns2:paraId="518BC0A3" ns2:textId="77777777" w:rsidR="009303D9" w:rsidRDefault="00214B61" w:rsidP="00E7596C">
      <w:pPr>
        <w:pStyle w:val="BodyText"/>
      </w:pPr>
      <w:r>
        <w:t xml:space="preserve">Under Regulation 62(3) of the CERC (Terms and Conditions of Tariff) Regulations, 2024, the Regional Load Despatch Centre must declare each day's peak hours at least a week in advance, and must align them with the region's actual peak to the maximum extent possible. Because a thermal station's capacity charge is recovered separately for peak and off-peak hours, a declaration that misses the true peak misprices availability. The declaration is therefore a forecasting problem in form - a fixed-length window must be committed to before the month begins - and this framing invites the natural response of building the most accurate demand and price forecasts available and selecting the window they imply.</w:t>
      </w:r>
    </w:p>
    <w:p ns2:paraId="796A0B19" ns2:textId="77777777" w:rsidR="00214B61" w:rsidRDefault="00214B61" w:rsidP="00E7596C">
      <w:pPr>
        <w:pStyle w:val="BodyText"/>
      </w:pPr>
      <w:r>
        <w:t xml:space="preserve">This paper reports what happens when that response is carried through and then honestly measured. A full forecasting stack was built for the Northern Region at the regulatory fifteen-minute resolution: gradient-boosted net-load regression, a three-regime hurdle-quantile ensemble for real-time market price with split-conformal intervals, a forty-station weather composite, and a composite block score from which the declared window is selected. The stack was then evaluated at the horizon at which the declaration is actually issued, ten to forty days ahead, rather than one block ahead. Two results followed, and neither supports the premise that motivated the work.</w:t>
      </w:r>
    </w:p>
    <w:p ns2:paraId="7438AEC5" ns2:textId="77777777" w:rsidR="00214B61" w:rsidRPr="005B520E" w:rsidRDefault="00214B61" w:rsidP="00E7596C">
      <w:pPr>
        <w:pStyle w:val="BodyText"/>
      </w:pPr>
      <w:r>
        <w:t xml:space="preserve">First, forecast skill at the declaration horizon is poor - real-time price error roughly triples relative to the one-block-ahead figure, and conformal coverage falls well short of its target - yet this hardly matters, because a rule requiring no forecast at all, repeating the same calendar month's optimal window from the previous year, already captures 98.3 percent of the achievable value. The optimum is strongly seasonal and highly persistent, so the ceiling on any forecast's contribution is roughly 1.7 percentage points. Second, what does move the declaration is the choice of objective rather than the accuracy of the forecast feeding it. For the hydro window, removing net load from the score and ranking blocks on price alone changed the declared window in seventeen of thirty-seven months and improved an exogenous reliability criterion, while several more elaborate objectives did worse.</w:t>
      </w:r>
    </w:p>
    <w:p ns2:paraId="3EA6BEAE" ns2:textId="77777777" w:rsidR="009A39D6" w:rsidRDefault="00000000">
      <w:pPr>
        <w:pStyle w:val="BodyText"/>
      </w:pPr>
      <w:r>
        <w:t xml:space="preserve">The contributions are accordingly empirical and methodological rather than algorithmic. (i) Six years of real NR declarations, 72 months, are scored against the ex-post optimal window of the same length, establishing that the incumbent manual process captures 90.7 percent of achievable value for thermal and 89.5 percent for hydro, and that a seasonal-naive rule captures 98.3 and 98.5 percent respectively. (ii) A horizon-matched validation protocol is defined and applied, under which the reported accuracy of every model falls substantially; the gap between the conventional and the horizon-matched figure is quantified. (iii) Grid frequency, which is exogenous to the whole stack and enters no feature set, is introduced as an independent criterion for judging a declared window, avoiding the circularity of scoring a selector on the quantity it maximizes. (iv) On that criterion, a single-signal rule for the hydro window is shown to place the declaration on 8.6 percentage points more frequency stress than the incumbent declaration, rising to 12.7 points in winter, with the summer difference reported as a null result. (v) The pipeline is instrumented for provenance and tested for look-ahead leakage, so that each reported number is traceable to the code and data that produced it.</w:t>
      </w:r>
    </w:p>
    <w:p ns2:paraId="3EA6BEAE" ns2:textId="77777777" w:rsidR="009A39D6" w:rsidRDefault="00000000">
      <w:pPr>
        <w:pStyle w:val="BodyText"/>
      </w:pPr>
      <w:r>
        <w:t xml:space="preserve">The practical implication for a declaring RLDC is that the obligation can be discharged by a transparent, auditable rule whose inputs are published market and system data, rather than by expert judgement or by a forecasting apparatus whose accuracy the decision does not require. That matters because the declaration is contestable: Regulation 62(3) requires stakeholder consultation, and a rule that can be recomputed by any party from public data is easier to defend than a discretionary determination.</w:t>
      </w:r>
    </w:p>
    <w:p ns2:paraId="3D95C2F6" ns2:textId="77777777" w:rsidR="009A39D6" w:rsidRDefault="00000000">
      <w:pPr>
        <w:pStyle w:val="Heading1"/>
      </w:pPr>
      <w:r>
        <w:t>Regulatory Context and Requirements</w:t>
      </w:r>
    </w:p>
    <w:p ns2:paraId="356539E6" ns2:textId="41D32504" w:rsidR="009A39D6" w:rsidRDefault="00000000">
      <w:pPr>
        <w:pStyle w:val="BodyText"/>
      </w:pPr>
      <w:r>
        <w:t>The identification of peak hours in this work is not solely an analytical exercise; it responds to a specific obligation placed on the Regional Load Despatch Centre (RLDC) by the Central Electricity Regulatory Commission (CERC), and it is bounded by the settlement conventions of the Grid Code. These instruments fix both the target of the framework and the constraints under which it must operate.</w:t>
      </w:r>
    </w:p>
    <w:p ns2:paraId="076B00ED" ns2:textId="77777777" w:rsidR="009A39D6" w:rsidRDefault="00000000">
      <w:pPr>
        <w:pStyle w:val="Heading2"/>
      </w:pPr>
      <w:r>
        <w:lastRenderedPageBreak/>
        <w:t>Obligation to Declare Peak Hours</w:t>
      </w:r>
    </w:p>
    <w:p ns2:paraId="2F0F4BCE" ns2:textId="77777777" w:rsidR="009A39D6" w:rsidRDefault="00000000">
      <w:pPr>
        <w:pStyle w:val="BodyText"/>
      </w:pPr>
      <w:r>
        <w:t>Regulation 62(3) of the CERC (Terms and Conditions of Tariff) Regulations, 2024 [12] fixes the number of Peak and Off-Peak hours in a day at four and twenty respectively, and provides that the hours of the Peak and Off-Peak periods during a day shall be declared by the concerned RLDC at least a week in advance. A proviso requires the RLDC, after duly considering the comments of the concerned stakeholders, to declare the peak hours so as to coincide with the majority of the region’s actual peak hours to the maximum extent possible; where a generating station’s beneficiaries are spread across regions, the peak hours follow the region in which the majority of its beneficiaries, by percentage of allocation, are located. The duration of the declared peak depends on the category of generating station: Regulation 62(3) sets it at four hours per day for thermal generating stations, whereas for hydro generating stations Regulation 65 defines the declared capacity as the capability to deliver, at peak, for at least three hours, certified by the nodal load despatch centre, which corresponds to a three-hour peak window.</w:t>
      </w:r>
    </w:p>
    <w:p ns2:paraId="78DBF127" ns2:textId="77777777" w:rsidR="009A39D6" w:rsidRDefault="00000000">
      <w:pPr>
        <w:pStyle w:val="BodyText"/>
      </w:pPr>
      <w:r>
        <w:t>This declaration has direct commercial weight. The capacity charge of a thermal station is recovered in two parts, one for the Peak Hours and one for the Off-Peak Hours of the month, and plant availability is assessed separately for each period. A declaration that fails to track the true peak therefore misprices availability, which is why the regulation demands an advance, evidence-based, and stakeholder-tested determination rather than an arbitrary choice of hours.</w:t>
      </w:r>
    </w:p>
    <w:p ns2:paraId="28BF64C6" ns2:textId="77777777" w:rsidR="009A39D6" w:rsidRDefault="00000000">
      <w:pPr>
        <w:pStyle w:val="Heading2"/>
      </w:pPr>
      <w:r>
        <w:t>Fifteen-Minute Time Block and Net-Load Basis</w:t>
      </w:r>
    </w:p>
    <w:p ns2:paraId="5189C04B" ns2:textId="77777777" w:rsidR="009A39D6" w:rsidRDefault="00000000">
      <w:pPr>
        <w:pStyle w:val="BodyText"/>
      </w:pPr>
      <w:r>
        <w:t>Regulation 127 of the CERC (Indian Electricity Grid Code) Regulations, 2023 [13] defines the Time Block as the interval for which meters record electrical parameters, presently fifteen minutes, with the first block starting at 00:00 hours. This is the resolution adopted throughout the present framework, giving ninety-six blocks per day. The same Grid Code, in its operational-planning provisions, requires demand to be estimated at time-block granularity and on a net-load basis, that is, load net of embedded generation such as rooftop solar and other distributed resources, and it distinguishes the morning-peak, evening-peak, day-shoulder and night-off-peak periods of the day. These provisions directly motivate the framework’s use of net NR demand and its focus on the evening and night ramp.</w:t>
      </w:r>
    </w:p>
    <w:p ns2:paraId="2CA2D836" ns2:textId="77777777" w:rsidR="009A39D6" w:rsidRDefault="00000000">
      <w:pPr>
        <w:pStyle w:val="Heading2"/>
      </w:pPr>
      <w:r>
        <w:t>Implications for the Framework</w:t>
      </w:r>
    </w:p>
    <w:p ns2:paraId="7E4D56B8" ns2:textId="77777777" w:rsidR="009A39D6" w:rsidRDefault="00000000">
      <w:pPr>
        <w:pStyle w:val="BodyText"/>
      </w:pPr>
      <w:r>
        <w:t>Taken together, the two instruments determine what the framework must produce: a forward declaration, made in advance of the operating period, at fifteen-minute resolution, on a net-load basis, yielding a fixed-duration daily peak window that tracks the region’s realized peak as closely as possible. The framework is built to meet these requirements. It forecasts the target period rather than reacting to it, so the declaration can be issued ahead of time; it operates on net NR demand at the regulatory time-block resolution; its window length is a configurable parameter set to the mandated declaration duration for the applicable category of generating station; and its scoring is tuned to reproduce the region’s genuine peak rather than a fixed clock time or a bare demand threshold.</w:t>
      </w:r>
    </w:p>
    <w:p ns2:paraId="7804DF81" ns2:textId="77777777" w:rsidR="009303D9" w:rsidRPr="006B6B66" w:rsidRDefault="00214B61" w:rsidP="006B6B66">
      <w:pPr>
        <w:pStyle w:val="Heading1"/>
      </w:pPr>
      <w:r>
        <w:t xml:space="preserve">Hypotheses and Research Questions</w:t>
      </w:r>
    </w:p>
    <w:p ns2:paraId="6DFF5212" ns2:textId="77777777" w:rsidR="009303D9" w:rsidRDefault="00214B61" w:rsidP="00ED0149">
      <w:pPr>
        <w:pStyle w:val="Heading2"/>
      </w:pPr>
      <w:r>
        <w:t xml:space="preserve">The Hypothesis Under Test</w:t>
      </w:r>
    </w:p>
    <w:p ns2:paraId="76FC6044" ns2:textId="77777777" w:rsidR="009303D9" w:rsidRDefault="00214B61" w:rsidP="00E7596C">
      <w:pPr>
        <w:pStyle w:val="BodyText"/>
      </w:pPr>
      <w:r>
        <w:t xml:space="preserve">The framework was built on a composite hypothesis, stated here in the form in which it was tested rather than assumed. The hypothesis holds that a peak block is not identified by demand magnitude alone, but emerges jointly from:</w:t>
      </w:r>
    </w:p>
    <w:p ns2:paraId="4B0607EA" ns2:textId="77777777" w:rsidR="00214B61" w:rsidRDefault="002C5DF4" w:rsidP="00214B61">
      <w:pPr>
        <w:pStyle w:val="BodyText"/>
        <w:numPr>
          <w:ilvl w:val="0"/>
          <w:numId w:val="25"/>
        </w:numPr>
      </w:pPr>
      <w:r>
        <w:t xml:space="preserve">electrical demand conditions, represented by net NR demand;</w:t>
      </w:r>
    </w:p>
    <w:p ns2:paraId="416A758C" ns2:textId="77777777" w:rsidR="002C5DF4" w:rsidRDefault="002C5DF4" w:rsidP="00214B61">
      <w:pPr>
        <w:pStyle w:val="BodyText"/>
        <w:numPr>
          <w:ilvl w:val="0"/>
          <w:numId w:val="25"/>
        </w:numPr>
      </w:pPr>
      <w:r>
        <w:t xml:space="preserve">short-term market stress and scarcity, represented by RTM and DAM prices and by exchange bid and cleared volumes; and</w:t>
      </w:r>
    </w:p>
    <w:p ns2:paraId="2C2C5806" ns2:textId="77777777" w:rsidR="002C5DF4" w:rsidRPr="005B520E" w:rsidRDefault="002C5DF4" w:rsidP="00214B61">
      <w:pPr>
        <w:pStyle w:val="BodyText"/>
        <w:numPr>
          <w:ilvl w:val="0"/>
          <w:numId w:val="25"/>
        </w:numPr>
      </w:pPr>
      <w:r>
        <w:t xml:space="preserve">weather-driven demand behaviour, represented by temperature and relative humidity at load centres.</w:t>
      </w:r>
    </w:p>
    <w:p ns2:paraId="3EA6BEAE" ns2:textId="77777777" w:rsidR="009A39D6" w:rsidRDefault="00000000">
      <w:pPr>
        <w:pStyle w:val="BodyText"/>
      </w:pPr>
      <w:r>
        <w:t xml:space="preserve">Sections VI to IX report the outcome. The hypothesis holds for the forecasting layer, where weather and market variables measurably improve net-load and price prediction. It does not hold for the selection layer in the form assumed: the net-load-times-price product that was intended to express the interaction proves, on decomposition, to be dominated by price, and for the hydro declaration the interaction term is not merely redundant but harmful. The hypothesis is therefore partly refuted by the framework's own evidence, and the paper reports it that way.</w:t>
      </w:r>
    </w:p>
    <w:p ns2:paraId="3C39A1B1" ns2:textId="77777777" w:rsidR="009303D9" w:rsidRPr="005B520E" w:rsidRDefault="002C5DF4" w:rsidP="00ED0149">
      <w:pPr>
        <w:pStyle w:val="Heading2"/>
      </w:pPr>
      <w:r>
        <w:t xml:space="preserve">Research Questions</w:t>
      </w:r>
    </w:p>
    <w:p ns2:paraId="09FCD008" ns2:textId="77777777" w:rsidR="002C5DF4" w:rsidRDefault="002C5DF4" w:rsidP="002C5DF4">
      <w:pPr>
        <w:pStyle w:val="BodyText"/>
      </w:pPr>
      <w:r>
        <w:t xml:space="preserve">Rather than asking only which blocks are likely to be peak blocks, the study addresses four questions that a declaring RLDC must be able to answer:</w:t>
      </w:r>
    </w:p>
    <w:p ns2:paraId="42C57662" ns2:textId="77777777" w:rsidR="002C5DF4" w:rsidRPr="002C5DF4" w:rsidRDefault="002C5DF4" w:rsidP="002C5DF4">
      <w:pPr>
        <w:pStyle w:val="BodyText"/>
        <w:rPr>
          <w:i/>
          <w:iCs/>
        </w:rPr>
      </w:pPr>
      <w:r>
        <w:rPr>
          <w:i/>
          <w:iCs/>
        </w:rPr>
        <w:t xml:space="preserve">Q1. How much of the achievable value does the present manual declaration capture, and how much headroom therefore exists for any method at all? Q2. How much forecast skill does the declaration decision require, measured against a baseline that uses no forecast? Q3. By what criterion can a declared window be judged without circularity, given that value capture is computed from the same quantity the selector maximizes? Q4. Which components of the composite score actually change the declared window, and in which direction?</w:t>
      </w:r>
    </w:p>
    <w:p ns2:paraId="3A3537D1" ns2:textId="77777777" w:rsidR="009303D9" w:rsidRDefault="002414A5" w:rsidP="006B6B66">
      <w:pPr>
        <w:pStyle w:val="Heading1"/>
      </w:pPr>
      <w:r>
        <w:t xml:space="preserve">Signals and Their Role in the Framework</w:t>
      </w:r>
    </w:p>
    <w:p ns2:paraId="26AB2172" ns2:textId="77777777" w:rsidR="00D7522C" w:rsidRDefault="002414A5" w:rsidP="00E7596C">
      <w:pPr>
        <w:pStyle w:val="BodyText"/>
        <w:rPr>
          <w:lang w:val="en-US"/>
        </w:rPr>
      </w:pPr>
      <w:r>
        <w:rPr>
          <w:lang w:val="en-US"/>
        </w:rPr>
        <w:t xml:space="preserve">Each input below enters the framework in one of two distinct roles, and the distinction matters because the paper's results treat them differently. A signal may be a FORECAST INPUT, used to predict net load or price for the target month, or it may be a SCORE COMPONENT, used to rank blocks once those forecasts exist. Weather, for example, is a strong forecast input and is not a score component at all. Conflating the two roles is what allowed an earlier version of this framework to describe its score as multivariate when, as Section VIII shows, one signal dominated it.</w:t>
      </w:r>
    </w:p>
    <w:p ns2:paraId="0E2EE80F" ns2:textId="77777777" w:rsidR="002414A5" w:rsidRDefault="002414A5" w:rsidP="002414A5">
      <w:pPr>
        <w:pStyle w:val="Heading2"/>
      </w:pPr>
      <w:r>
        <w:t>Net NR Demand</w:t>
      </w:r>
    </w:p>
    <w:p ns2:paraId="38895287" ns2:textId="77777777" w:rsidR="002414A5" w:rsidRDefault="002414A5" w:rsidP="002414A5">
      <w:pPr>
        <w:pStyle w:val="BodyText"/>
        <w:rPr>
          <w:lang w:val="en-US"/>
        </w:rPr>
      </w:pPr>
      <w:r>
        <w:rPr>
          <w:lang w:val="en-US"/>
        </w:rPr>
        <w:t xml:space="preserve">Net NR demand is the principal measure of aggregate system loading and, consistent with the demand-estimation provisions of the Grid Code [13], is taken net of embedded solar and wind so that the quantity scored is the load actually incident on the grid. It is a forecast target in its own right and a forecast input to the price model. As a score component its role is more limited than the framework originally assumed.</w:t>
      </w:r>
    </w:p>
    <w:p ns2:paraId="072FDF09" ns2:textId="77777777" w:rsidR="002414A5" w:rsidRDefault="002414A5" w:rsidP="002414A5">
      <w:pPr>
        <w:pStyle w:val="BodyText"/>
      </w:pPr>
      <w:r>
        <w:rPr>
          <w:lang w:val="en-US"/>
        </w:rPr>
        <w:lastRenderedPageBreak/>
        <w:t xml:space="preserve">Net load retains one structural role in selection that no other signal performs: it locates the evening ramp and therefore fixes the earliest block at which a candidate window may begin, as described in Section VIII. That gate is a statement about system behaviour rather than about block value, and it is unaffected by the objective-function findings reported later.</w:t>
      </w:r>
    </w:p>
    <w:p ns2:paraId="528C1584" ns2:textId="77777777" w:rsidR="002414A5" w:rsidRPr="005B520E" w:rsidRDefault="002414A5" w:rsidP="002414A5">
      <w:pPr>
        <w:pStyle w:val="Heading2"/>
      </w:pPr>
      <w:r>
        <w:t>DAM Prices</w:t>
      </w:r>
    </w:p>
    <w:p ns2:paraId="63223A19" ns2:textId="77777777" w:rsidR="002414A5" w:rsidRDefault="002414A5" w:rsidP="002414A5">
      <w:pPr>
        <w:pStyle w:val="BodyText"/>
      </w:pPr>
      <w:r>
        <w:t xml:space="preserve">The Day-Ahead Market (DAM) price provides a forward market-based signal of expected scarcity and system tightness. High DAM prices often reflect anticipated stress in the power balance, tighter supply-demand conditions, or stronger market competition for energy procurement. Inclusion of DAM prices therefore allows the model to incorporate the economic manifestation of demand stress, rather than relying solely on physical load magnitude. </w:t>
      </w:r>
    </w:p>
    <w:p ns2:paraId="331BC66C" ns2:textId="77777777" w:rsidR="002414A5" w:rsidRDefault="002414A5" w:rsidP="002414A5">
      <w:pPr>
        <w:pStyle w:val="BodyText"/>
      </w:pPr>
      <w:r>
        <w:t xml:space="preserve">In the thermal score the day-ahead term aggregates bid volumes, cleared volume and the market clearing price, and carries a weight of 0.07. It is retained because it is genuinely exogenous at declaration time, unlike the real-time price it helps to predict.</w:t>
      </w:r>
    </w:p>
    <w:p ns2:paraId="4B97E1F1" ns2:textId="77777777" w:rsidR="009303D9" w:rsidRDefault="002A3C81" w:rsidP="00ED0149">
      <w:pPr>
        <w:pStyle w:val="Heading2"/>
      </w:pPr>
      <w:r>
        <w:t>RTM Prices</w:t>
      </w:r>
    </w:p>
    <w:p ns2:paraId="1CC3CA0C" ns2:textId="77777777" w:rsidR="009303D9" w:rsidRDefault="002A3C81" w:rsidP="00E7596C">
      <w:pPr>
        <w:pStyle w:val="BodyText"/>
      </w:pPr>
      <w:r>
        <w:t>The Real-Time Market (RTM) price represents a near-real-time market response to actual system conditions. Since RTM prices are more closely aligned with instantaneous or short-term balancing requirements, they provide a valuable signal of immediate system stress, short-term scarcity, or deviations from expected demand-supply conditions.</w:t>
      </w:r>
    </w:p>
    <w:p ns2:paraId="1E2AECA1" ns2:textId="77777777" w:rsidR="002A3C81" w:rsidRPr="005B520E" w:rsidRDefault="002A3C81" w:rsidP="00E7596C">
      <w:pPr>
        <w:pStyle w:val="BodyText"/>
      </w:pPr>
      <w:r>
        <w:t xml:space="preserve">Real-time price turns out to be the single most informative signal for window selection, and for the hydro declaration it is the only one used. The reason is that RTM price is an equilibrium outcome: the market has already aggregated demand, forced outages, fuel cost and inter-regional transfer limits into one published number, so it summarizes system tightness more completely than any single physical measurement. This also explains why multiplying it by net load does not improve the score - it re-counts a driver the price has already absorbed. The countervailing weakness is censoring at the regulatory price cap, quantified in Section VIII.</w:t>
      </w:r>
    </w:p>
    <w:p ns2:paraId="6FC48DCA" ns2:textId="77777777" w:rsidR="009303D9" w:rsidRDefault="002A3C81" w:rsidP="00ED0149">
      <w:pPr>
        <w:pStyle w:val="Heading2"/>
      </w:pPr>
      <w:r>
        <w:t>Trade Volume</w:t>
      </w:r>
    </w:p>
    <w:p ns2:paraId="62806C27" ns2:textId="77777777" w:rsidR="009A39D6" w:rsidRDefault="00000000">
      <w:pPr>
        <w:pStyle w:val="BodyText"/>
      </w:pPr>
      <w:r>
        <w:t>Power-exchange trade volumes provide a complementary, quantity-based view of the same market tightness that prices summarize. For each fifteen-minute block the framework uses the purchase (buy) bid volume, the sell bid volume, the market cleared volume (MCV), and the final scheduled volume, for both the DAM and the RTM segments. Large purchase bids relative to available sell bids indicate aggressive buying pressure and a tight supply position, whereas a cleared volume that falls well short of the purchase bid signals unmet demand at the prevailing price cap.</w:t>
      </w:r>
    </w:p>
    <w:p ns2:paraId="73C1F20D" ns2:textId="77777777" w:rsidR="009A39D6" w:rsidRDefault="00000000">
      <w:pPr>
        <w:pStyle w:val="BodyText"/>
      </w:pPr>
      <w:r>
        <w:t>From these raw volumes the model derives several pressure indicators: the bid spread (purchase minus sell volume), the bid ratio (purchase over sell), the cleared share of the purchase and of the sell bids, and the gap between scheduled and cleared volume. These features let the model separate a genuinely stressed block, where high demand and high price coincide with heavy, only partially cleared buying, from a merely high-price block driven by transient volatility.</w:t>
      </w:r>
    </w:p>
    <w:p ns2:paraId="726FCD69" ns2:textId="77777777" w:rsidR="009303D9" w:rsidRPr="005B520E" w:rsidRDefault="00554BB2" w:rsidP="00ED0149">
      <w:pPr>
        <w:pStyle w:val="Heading2"/>
      </w:pPr>
      <w:r>
        <w:t>Temperature</w:t>
      </w:r>
    </w:p>
    <w:p ns2:paraId="46283C8A" ns2:textId="77777777" w:rsidR="00554BB2" w:rsidRDefault="00554BB2" w:rsidP="00554BB2">
      <w:pPr>
        <w:pStyle w:val="BodyText"/>
      </w:pPr>
      <w:r>
        <w:t>Temperature is one of the most important weather variables influencing electricity demand, especially in regions where cooling load plays a major role. High ambient temperatures can lead to substantial increases in air-conditioning load, thereby raising overall system demand and intensifying evening or afternoon peaks. Temperature therefore acts as a physical driver of demand behaviour and helps the model explain seasonal and diurnal variation in peak load occurrence.</w:t>
      </w:r>
    </w:p>
    <w:p ns2:paraId="10A75CAB" ns2:textId="77777777" w:rsidR="009303D9" w:rsidRDefault="00554BB2" w:rsidP="00ED0149">
      <w:pPr>
        <w:pStyle w:val="Heading2"/>
      </w:pPr>
      <w:r>
        <w:t>Relative Humidity</w:t>
      </w:r>
    </w:p>
    <w:p ns2:paraId="7F9ABA20" ns2:textId="77777777" w:rsidR="009303D9" w:rsidRDefault="00554BB2" w:rsidP="00E7596C">
      <w:pPr>
        <w:pStyle w:val="BodyText"/>
      </w:pPr>
      <w:r>
        <w:t>Relative humidity is included because thermal discomfort and cooling demand are often influenced not by temperature alone, but by the combined effect of temperature and moisture content in the air. High humidity can exacerbate the perceived heat burden and increase the use of cooling appliances, thereby contributing to elevated load conditions. When used alongside temperature, relative humidity allows the model to better represent weather-induced demand stress.</w:t>
      </w:r>
    </w:p>
    <w:p ns2:paraId="6DE34BB1" ns2:textId="77777777" w:rsidR="00554BB2" w:rsidRDefault="00554BB2" w:rsidP="00554BB2">
      <w:pPr>
        <w:pStyle w:val="Heading1"/>
      </w:pPr>
      <w:r>
        <w:t>Methodological Framework</w:t>
      </w:r>
    </w:p>
    <w:p ns2:paraId="43DBBF0F" ns2:textId="77777777" w:rsidR="00554BB2" w:rsidRDefault="00554BB2" w:rsidP="00554BB2">
      <w:pPr>
        <w:pStyle w:val="Heading2"/>
      </w:pPr>
      <w:r>
        <w:t>Time Resolution</w:t>
      </w:r>
    </w:p>
    <w:p ns2:paraId="603D82BB" ns2:textId="77777777" w:rsidR="00554BB2" w:rsidRDefault="00554BB2" w:rsidP="00554BB2">
      <w:pPr>
        <w:pStyle w:val="BodyText"/>
      </w:pPr>
      <w:r>
        <w:t>The analysis is carried out at a 15-minute block level, which is operationally consistent with scheduling, dispatch, and market settlement practices in the Indian power sector. Each day is therefore divided into 96 time blocks, and the model assigns a score to each block based on the selected explanatory variables. This fifteen-minute block is the Time Block defined in Regulation 127 of the CERC (Indian Electricity Grid Code) Regulations, 2023 [13], the metering and settlement interval whose first block starts at 00:00 hours.</w:t>
      </w:r>
    </w:p>
    <w:p ns2:paraId="32CD296F" ns2:textId="77777777" w:rsidR="00554BB2" w:rsidRDefault="00554BB2" w:rsidP="00554BB2">
      <w:pPr>
        <w:pStyle w:val="BodyText"/>
      </w:pPr>
      <w:r>
        <w:t>The choice of 15-minute resolution is important because it balances :</w:t>
      </w:r>
    </w:p>
    <w:p ns2:paraId="03BB5794" ns2:textId="77777777" w:rsidR="00284D4F" w:rsidRDefault="00284D4F" w:rsidP="00284D4F">
      <w:pPr>
        <w:pStyle w:val="BodyText"/>
        <w:numPr>
          <w:ilvl w:val="0"/>
          <w:numId w:val="27"/>
        </w:numPr>
      </w:pPr>
      <w:r>
        <w:t>Sufficient temporal granularity to capture peak evolution within the day,</w:t>
      </w:r>
    </w:p>
    <w:p ns2:paraId="451B6A7C" ns2:textId="77777777" w:rsidR="00284D4F" w:rsidRDefault="00284D4F" w:rsidP="00284D4F">
      <w:pPr>
        <w:pStyle w:val="BodyText"/>
        <w:numPr>
          <w:ilvl w:val="0"/>
          <w:numId w:val="27"/>
        </w:numPr>
      </w:pPr>
      <w:r>
        <w:t>Operational relevance for scheduling and market analysis,</w:t>
      </w:r>
    </w:p>
    <w:p ns2:paraId="47D0E6D8" ns2:textId="77777777" w:rsidR="00284D4F" w:rsidRDefault="00284D4F" w:rsidP="00284D4F">
      <w:pPr>
        <w:pStyle w:val="BodyText"/>
        <w:numPr>
          <w:ilvl w:val="0"/>
          <w:numId w:val="27"/>
        </w:numPr>
      </w:pPr>
      <w:r>
        <w:t>Reduces noise compared with very high-frequency data such as 1- minute telemetry</w:t>
      </w:r>
    </w:p>
    <w:p ns2:paraId="3434D778" ns2:textId="77777777" w:rsidR="00284D4F" w:rsidRPr="005B520E" w:rsidRDefault="00284D4F" w:rsidP="00284D4F">
      <w:pPr>
        <w:pStyle w:val="BodyText"/>
        <w:ind w:start="14.40pt" w:firstLine="0pt"/>
      </w:pPr>
      <w:r>
        <w:rPr>
          <w:highlight w:val="yellow"/>
        </w:rPr>
        <w:t>The Temperature and Relative Humidity data are hourly basis which are resampled into 15 minutes data</w:t>
      </w:r>
    </w:p>
    <w:p ns2:paraId="6A3AD8C1" ns2:textId="77777777" w:rsidR="00554BB2" w:rsidRDefault="00284D4F" w:rsidP="00554BB2">
      <w:pPr>
        <w:pStyle w:val="Heading2"/>
      </w:pPr>
      <w:r>
        <w:t>Input Variables</w:t>
      </w:r>
    </w:p>
    <w:p ns2:paraId="6E9A4CDC" ns2:textId="77777777" w:rsidR="00554BB2" w:rsidRPr="005B520E" w:rsidRDefault="00284D4F" w:rsidP="00554BB2">
      <w:pPr>
        <w:pStyle w:val="bulletlist"/>
      </w:pPr>
      <w:r>
        <w:t>Net NR Demand</w:t>
      </w:r>
    </w:p>
    <w:p ns2:paraId="30839194" ns2:textId="77777777" w:rsidR="00554BB2" w:rsidRPr="005B520E" w:rsidRDefault="00284D4F" w:rsidP="00554BB2">
      <w:pPr>
        <w:pStyle w:val="bulletlist"/>
      </w:pPr>
      <w:r>
        <w:t>RTM and DAM Prices</w:t>
      </w:r>
    </w:p>
    <w:p ns2:paraId="4274A5C5" ns2:textId="77777777" w:rsidR="00554BB2" w:rsidRPr="005B520E" w:rsidRDefault="00284D4F" w:rsidP="00554BB2">
      <w:pPr>
        <w:pStyle w:val="bulletlist"/>
      </w:pPr>
      <w:r>
        <w:t>Exchange Trade Buy and Sell volumes</w:t>
      </w:r>
    </w:p>
    <w:p ns2:paraId="10084997" ns2:textId="77777777" w:rsidR="00554BB2" w:rsidRDefault="00284D4F" w:rsidP="00554BB2">
      <w:pPr>
        <w:pStyle w:val="bulletlist"/>
      </w:pPr>
      <w:r>
        <w:t>Ambient Temperature</w:t>
      </w:r>
    </w:p>
    <w:p ns2:paraId="28FBE339" ns2:textId="77777777" w:rsidR="00284D4F" w:rsidRDefault="00284D4F" w:rsidP="00554BB2">
      <w:pPr>
        <w:pStyle w:val="bulletlist"/>
      </w:pPr>
      <w:r>
        <w:t>Relative Humidity</w:t>
      </w:r>
    </w:p>
    <w:p ns2:paraId="6248D27A" ns2:textId="77777777" w:rsidR="00284D4F" w:rsidRPr="005B520E" w:rsidRDefault="00284D4F" w:rsidP="00284D4F">
      <w:pPr>
        <w:pStyle w:val="bulletlist"/>
        <w:numPr>
          <w:ilvl w:val="0"/>
          <w:numId w:val="0"/>
        </w:numPr>
        <w:ind w:firstLine="14.20pt"/>
      </w:pPr>
      <w:r>
        <w:t>These variables are aligned on a common timestamp basis so that each block contains a synchronized set of system, market, and weather attributes.</w:t>
      </w:r>
    </w:p>
    <w:p ns2:paraId="1EBF8B2F" ns2:textId="77777777" w:rsidR="00554BB2" w:rsidRPr="005B520E" w:rsidRDefault="00284D4F" w:rsidP="00554BB2">
      <w:pPr>
        <w:pStyle w:val="Heading2"/>
      </w:pPr>
      <w:r>
        <w:t>Data Processing and Normalisation</w:t>
      </w:r>
    </w:p>
    <w:p ns2:paraId="354B3D07" ns2:textId="77777777" w:rsidR="00554BB2" w:rsidRDefault="00284D4F" w:rsidP="00554BB2">
      <w:pPr>
        <w:pStyle w:val="BodyText"/>
      </w:pPr>
      <w:r>
        <w:t xml:space="preserve">The component signals are measured in different units and ranges - MW, Rs/MWh, degrees Celsius, percent relative humidity - so they cannot be combined without scaling. The framework uses a robust z-score throughout: each series is centred on its median and scaled by its median absolute deviation times 1.4826, then clipped to plus or minus five standard deviations.</w:t>
      </w:r>
    </w:p>
    <w:p ns2:paraId="2270FCCD" ns2:textId="77777777" w:rsidR="00284D4F" w:rsidRDefault="00284D4F" w:rsidP="00554BB2">
      <w:pPr>
        <w:pStyle w:val="BodyText"/>
      </w:pPr>
      <w:r>
        <w:t xml:space="preserve">This choice is deliberate on two counts. A mean-and-standard-deviation z-score would be distorted by the price spikes that the framework specifically needs to represent, and min-max scaling would make every block's score depend on the single most extreme block in the sample. Clipping bounds the influence of any one outlier without discarding it.</w:t>
      </w:r>
    </w:p>
    <w:p ns2:paraId="7ADE59EE" ns2:textId="77777777" w:rsidR="00284D4F" w:rsidRPr="005B520E" w:rsidRDefault="00284D4F" w:rsidP="00284D4F">
      <w:pPr>
        <w:pStyle w:val="BodyText"/>
      </w:pPr>
      <w:r>
        <w:lastRenderedPageBreak/>
        <w:t xml:space="preserve">Normalisation equalises scale, but it does not equalise influence: a signal with greater relative dispersion still dominates a sum of normalised terms. Section VIII quantifies this for the net-load-times-price product and shows that it is the mechanism by which an apparently multivariate score became effectively univariate. A rank transformation, which does equalise influence, was tested and performed worse than either the product or price alone, which indicates that price should dominate rather than that the imbalance should be corrected.</w:t>
      </w:r>
    </w:p>
    <w:p ns2:paraId="3F2D0283" ns2:textId="77777777" w:rsidR="009303D9" w:rsidRDefault="005D62FD" w:rsidP="00ED0149">
      <w:pPr>
        <w:pStyle w:val="Heading2"/>
      </w:pPr>
      <w:r>
        <w:t>Block Scoring Philosophy</w:t>
      </w:r>
    </w:p>
    <w:p ns2:paraId="3CC62997" ns2:textId="77777777" w:rsidR="009303D9" w:rsidRDefault="005D62FD" w:rsidP="00E7596C">
      <w:pPr>
        <w:pStyle w:val="BodyText"/>
        <w:rPr>
          <w:lang w:val="en-US"/>
        </w:rPr>
      </w:pPr>
      <w:r>
        <w:rPr>
          <w:lang w:val="en-US"/>
        </w:rPr>
        <w:t xml:space="preserve">The model assigns a composite score to each 15-minute block based on the relative magnitude and importance of the input variables. Conceptually, the score may be represented as: </w:t>
      </w:r>
    </w:p>
    <w:p ns2:paraId="19366312" ns2:textId="77777777" w:rsidR="009A39D6" w:rsidRDefault="00000000">
      <w:pPr>
        <w:pStyle w:val="BodyText"/>
        <w:jc w:val="center"/>
      </w:pPr>
      <w:r>
        <w:rPr>
          <w:i/>
        </w:rPr>
        <w:t>S(t) = f ( D(t), R(t), A(t), V(t), T(t), H(t) )          (1)</w:t>
      </w:r>
    </w:p>
    <w:p ns2:paraId="56835B84" ns2:textId="77777777" w:rsidR="005D62FD" w:rsidRPr="00152E6E" w:rsidRDefault="00000000" w:rsidP="00E7596C">
      <w:pPr>
        <w:pStyle w:val="BodyText"/>
      </w:pPr>
      <m:oMathPara>
        <m:oMath>
          <m:sSub>
            <m:sSubPr>
              <m:ctrlPr>
                <w:rPr>
                  <w:rFonts w:ascii="Cambria Math" w:hAnsi="Cambria Math"/>
                  <w:i/>
                </w:rPr>
              </m:ctrlPr>
            </m:sSubPr>
            <m:e>
              <m:r>
                <w:rPr>
                  <w:rFonts w:ascii="Cambria Math" w:hAnsi="Cambria Math"/>
                </w:rPr>
                <m:t>Peak Score</m:t>
              </m:r>
            </m:e>
            <m:sub>
              <m:r>
                <w:rPr>
                  <w:rFonts w:ascii="Cambria Math" w:hAnsi="Cambria Math"/>
                </w:rPr>
                <m:t>t</m:t>
              </m:r>
            </m:sub>
          </m:sSub>
          <m:r>
            <w:rPr>
              <w:rFonts w:ascii="Cambria Math" w:hAnsi="Cambria Math"/>
            </w:rPr>
            <m:t>=f(</m:t>
          </m:r>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RTM</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DAM</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Buy</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Sell</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RH</m:t>
              </m:r>
            </m:e>
            <m:sub>
              <m:r>
                <w:rPr>
                  <w:rFonts w:ascii="Cambria Math" w:hAnsi="Cambria Math"/>
                </w:rPr>
                <m:t>t</m:t>
              </m:r>
            </m:sub>
          </m:sSub>
          <m:r>
            <w:rPr>
              <w:rFonts w:ascii="Cambria Math" w:hAnsi="Cambria Math"/>
            </w:rPr>
            <m:t>)</m:t>
          </m:r>
        </m:oMath>
      </m:oMathPara>
    </w:p>
    <w:p ns2:paraId="085AB6B7" ns2:textId="77777777" w:rsidR="00152E6E" w:rsidRDefault="00152E6E" w:rsidP="00E7596C">
      <w:pPr>
        <w:pStyle w:val="BodyText"/>
      </w:pPr>
      <w:r>
        <w:t>where:</w:t>
      </w:r>
    </w:p>
    <w:p ns2:paraId="1B204334" ns2:textId="77777777" w:rsidR="00152E6E" w:rsidRDefault="00000000" w:rsidP="00152E6E">
      <w:pPr>
        <w:pStyle w:val="BodyText"/>
        <w:numPr>
          <w:ilvl w:val="0"/>
          <w:numId w:val="30"/>
        </w:numPr>
      </w:pP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oMath>
      <w:r w:rsidR="00152E6E">
        <w:t xml:space="preserve"> Net NR Demand in block t</w:t>
      </w:r>
    </w:p>
    <w:p ns2:paraId="3FBEE8A0" ns2:textId="77777777" w:rsidR="00152E6E" w:rsidRDefault="00000000" w:rsidP="00152E6E">
      <w:pPr>
        <w:pStyle w:val="BodyText"/>
        <w:numPr>
          <w:ilvl w:val="0"/>
          <w:numId w:val="30"/>
        </w:numPr>
      </w:pP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RTM</m:t>
            </m:r>
          </m:sup>
        </m:sSubSup>
        <m:r>
          <w:rPr>
            <w:rFonts w:ascii="Cambria Math" w:hAnsi="Cambria Math"/>
          </w:rPr>
          <m:t>=</m:t>
        </m:r>
      </m:oMath>
      <w:r w:rsidR="00152E6E">
        <w:t xml:space="preserve"> RTM prices in block t</w:t>
      </w:r>
    </w:p>
    <w:p ns2:paraId="19EF0796" ns2:textId="77777777" w:rsidR="00152E6E" w:rsidRDefault="00000000" w:rsidP="00152E6E">
      <w:pPr>
        <w:pStyle w:val="BodyText"/>
        <w:numPr>
          <w:ilvl w:val="0"/>
          <w:numId w:val="30"/>
        </w:numPr>
      </w:pP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DAM</m:t>
            </m:r>
          </m:sup>
        </m:sSubSup>
        <m:r>
          <w:rPr>
            <w:rFonts w:ascii="Cambria Math" w:hAnsi="Cambria Math"/>
          </w:rPr>
          <m:t>=</m:t>
        </m:r>
      </m:oMath>
      <w:r w:rsidR="00152E6E">
        <w:t>DAM prices in block t</w:t>
      </w:r>
    </w:p>
    <w:p ns2:paraId="0202C795" ns2:textId="77777777" w:rsidR="00152E6E" w:rsidRDefault="00000000" w:rsidP="00152E6E">
      <w:pPr>
        <w:pStyle w:val="BodyText"/>
        <w:numPr>
          <w:ilvl w:val="0"/>
          <w:numId w:val="30"/>
        </w:numPr>
      </w:pPr>
      <m:oMath>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Buy</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Sell</m:t>
            </m:r>
          </m:sup>
        </m:sSubSup>
        <m:r>
          <w:rPr>
            <w:rFonts w:ascii="Cambria Math" w:hAnsi="Cambria Math"/>
          </w:rPr>
          <m:t>=</m:t>
        </m:r>
      </m:oMath>
      <w:r w:rsidR="00152E6E">
        <w:t xml:space="preserve"> Volume Traded Buy and Sell in block t </w:t>
      </w:r>
    </w:p>
    <w:p ns2:paraId="3FAF5A8C" ns2:textId="77777777" w:rsidR="00152E6E" w:rsidRDefault="00000000" w:rsidP="00152E6E">
      <w:pPr>
        <w:pStyle w:val="BodyText"/>
        <w:numPr>
          <w:ilvl w:val="0"/>
          <w:numId w:val="30"/>
        </w:numPr>
      </w:pPr>
      <m:oMath>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m:t>
        </m:r>
      </m:oMath>
      <w:r w:rsidR="00152E6E">
        <w:t xml:space="preserve"> temperature in block t</w:t>
      </w:r>
    </w:p>
    <w:p ns2:paraId="45318846" ns2:textId="77777777" w:rsidR="00152E6E" w:rsidRDefault="00000000" w:rsidP="00152E6E">
      <w:pPr>
        <w:pStyle w:val="BodyText"/>
        <w:numPr>
          <w:ilvl w:val="0"/>
          <w:numId w:val="30"/>
        </w:numPr>
      </w:pPr>
      <m:oMath>
        <m:sSub>
          <m:sSubPr>
            <m:ctrlPr>
              <w:rPr>
                <w:rFonts w:ascii="Cambria Math" w:hAnsi="Cambria Math"/>
                <w:i/>
              </w:rPr>
            </m:ctrlPr>
          </m:sSubPr>
          <m:e>
            <m:r>
              <w:rPr>
                <w:rFonts w:ascii="Cambria Math" w:hAnsi="Cambria Math"/>
              </w:rPr>
              <m:t>RH</m:t>
            </m:r>
          </m:e>
          <m:sub>
            <m:r>
              <w:rPr>
                <w:rFonts w:ascii="Cambria Math" w:hAnsi="Cambria Math"/>
              </w:rPr>
              <m:t>t</m:t>
            </m:r>
          </m:sub>
        </m:sSub>
        <m:r>
          <w:rPr>
            <w:rFonts w:ascii="Cambria Math" w:hAnsi="Cambria Math"/>
          </w:rPr>
          <m:t>=</m:t>
        </m:r>
      </m:oMath>
      <w:r w:rsidR="00152E6E">
        <w:t>relative humidity in block t</w:t>
      </w:r>
    </w:p>
    <w:p ns2:paraId="1845C6FD" ns2:textId="77777777" w:rsidR="00152E6E" w:rsidRDefault="00152E6E" w:rsidP="00152E6E">
      <w:pPr>
        <w:pStyle w:val="BodyText"/>
        <w:ind w:firstLine="0pt"/>
      </w:pPr>
      <w:r>
        <w:tab/>
        <w:t xml:space="preserve">The function </w:t>
      </w:r>
      <m:oMath>
        <m:r>
          <w:rPr>
            <w:rFonts w:ascii="Cambria Math" w:hAnsi="Cambria Math"/>
          </w:rPr>
          <m:t>f(∙)</m:t>
        </m:r>
      </m:oMath>
      <w:r>
        <w:t xml:space="preserve"> may be designed either as:</w:t>
      </w:r>
    </w:p>
    <w:p ns2:paraId="47EF9E6B" ns2:textId="77777777" w:rsidR="00D82173" w:rsidRDefault="00D82173" w:rsidP="00D82173">
      <w:pPr>
        <w:pStyle w:val="BodyText"/>
        <w:numPr>
          <w:ilvl w:val="0"/>
          <w:numId w:val="31"/>
        </w:numPr>
      </w:pPr>
      <w:r>
        <w:t>A weighted composite scoring function, or</w:t>
      </w:r>
    </w:p>
    <w:p ns2:paraId="4E9D45CA" ns2:textId="77777777" w:rsidR="00D82173" w:rsidRDefault="00D82173" w:rsidP="00D82173">
      <w:pPr>
        <w:pStyle w:val="BodyText"/>
        <w:numPr>
          <w:ilvl w:val="0"/>
          <w:numId w:val="31"/>
        </w:numPr>
      </w:pPr>
      <w:r>
        <w:t>A machine learning model that learns the relationship between these inputs and the occurrence of peak blocks.</w:t>
      </w:r>
    </w:p>
    <w:p ns2:paraId="028B24D6" ns2:textId="77777777" w:rsidR="00D82173" w:rsidRDefault="00D82173" w:rsidP="00393927">
      <w:pPr>
        <w:pStyle w:val="BodyText"/>
        <w:ind w:firstLine="14.20pt"/>
      </w:pPr>
      <w:r>
        <w:t>In a scoring-based implementation, the block score may be formed as a weighted sum of normalised variables:</w:t>
      </w:r>
    </w:p>
    <w:p ns2:paraId="2F10E00A" ns2:textId="77777777" w:rsidR="009A39D6" w:rsidRDefault="00000000">
      <w:pPr>
        <w:pStyle w:val="BodyText"/>
        <w:jc w:val="center"/>
      </w:pPr>
      <w:r>
        <w:rPr>
          <w:i/>
        </w:rPr>
        <w:t>S(t) = w1 x̃₁(t) + w2 x̃₂(t) + … + wn x̃ₙ(t)          (2)</w:t>
      </w:r>
    </w:p>
    <w:p ns2:paraId="356F9F40" ns2:textId="77777777" w:rsidR="00D82173" w:rsidRPr="007664A6" w:rsidRDefault="00000000" w:rsidP="00D82173">
      <w:pPr>
        <w:pStyle w:val="BodyText"/>
        <w:ind w:firstLine="0pt"/>
      </w:pPr>
      <m:oMathPara>
        <m:oMath>
          <m:sSub>
            <m:sSubPr>
              <m:ctrlPr>
                <w:rPr>
                  <w:rFonts w:ascii="Cambria Math" w:hAnsi="Cambria Math"/>
                  <w:i/>
                </w:rPr>
              </m:ctrlPr>
            </m:sSubPr>
            <m:e>
              <m:r>
                <w:rPr>
                  <w:rFonts w:ascii="Cambria Math" w:hAnsi="Cambria Math"/>
                </w:rPr>
                <m:t>Score</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1</m:t>
              </m:r>
            </m:sub>
          </m:sSub>
          <m:acc>
            <m:accPr>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t</m:t>
                  </m:r>
                </m:sub>
              </m:sSub>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acc>
            <m:accPr>
              <m:ctrlPr>
                <w:rPr>
                  <w:rFonts w:ascii="Cambria Math" w:hAnsi="Cambria Math"/>
                  <w:i/>
                </w:rPr>
              </m:ctrlPr>
            </m:accPr>
            <m:e>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RTM</m:t>
                  </m:r>
                </m:sup>
              </m:sSubSup>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acc>
            <m:accPr>
              <m:ctrlPr>
                <w:rPr>
                  <w:rFonts w:ascii="Cambria Math" w:hAnsi="Cambria Math"/>
                  <w:i/>
                </w:rPr>
              </m:ctrlPr>
            </m:accPr>
            <m:e>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DAM</m:t>
                  </m:r>
                </m:sup>
              </m:sSubSup>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4</m:t>
              </m:r>
            </m:sub>
          </m:sSub>
          <m:acc>
            <m:accPr>
              <m:ctrlPr>
                <w:rPr>
                  <w:rFonts w:ascii="Cambria Math" w:hAnsi="Cambria Math"/>
                  <w:i/>
                </w:rPr>
              </m:ctrlPr>
            </m:accPr>
            <m:e>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Buy</m:t>
                  </m:r>
                </m:sup>
              </m:sSubSup>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5</m:t>
              </m:r>
            </m:sub>
          </m:sSub>
          <m:acc>
            <m:accPr>
              <m:ctrlPr>
                <w:rPr>
                  <w:rFonts w:ascii="Cambria Math" w:hAnsi="Cambria Math"/>
                  <w:i/>
                </w:rPr>
              </m:ctrlPr>
            </m:accPr>
            <m:e>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Sell</m:t>
                  </m:r>
                </m:sup>
              </m:sSubSup>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6</m:t>
              </m:r>
            </m:sub>
          </m:sSub>
          <m:acc>
            <m:accPr>
              <m:ctrlPr>
                <w:rPr>
                  <w:rFonts w:ascii="Cambria Math" w:hAnsi="Cambria Math"/>
                  <w:i/>
                </w:rPr>
              </m:ctrlPr>
            </m:accPr>
            <m:e>
              <m:sSub>
                <m:sSubPr>
                  <m:ctrlPr>
                    <w:rPr>
                      <w:rFonts w:ascii="Cambria Math" w:hAnsi="Cambria Math"/>
                      <w:i/>
                    </w:rPr>
                  </m:ctrlPr>
                </m:sSubPr>
                <m:e>
                  <m:r>
                    <w:rPr>
                      <w:rFonts w:ascii="Cambria Math" w:hAnsi="Cambria Math"/>
                    </w:rPr>
                    <m:t>T</m:t>
                  </m:r>
                </m:e>
                <m:sub>
                  <m:r>
                    <w:rPr>
                      <w:rFonts w:ascii="Cambria Math" w:hAnsi="Cambria Math"/>
                    </w:rPr>
                    <m:t>t</m:t>
                  </m:r>
                </m:sub>
              </m:sSub>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7</m:t>
              </m:r>
            </m:sub>
          </m:sSub>
          <m:acc>
            <m:accPr>
              <m:ctrlPr>
                <w:rPr>
                  <w:rFonts w:ascii="Cambria Math" w:hAnsi="Cambria Math"/>
                  <w:i/>
                </w:rPr>
              </m:ctrlPr>
            </m:accPr>
            <m:e>
              <m:sSub>
                <m:sSubPr>
                  <m:ctrlPr>
                    <w:rPr>
                      <w:rFonts w:ascii="Cambria Math" w:hAnsi="Cambria Math"/>
                      <w:i/>
                    </w:rPr>
                  </m:ctrlPr>
                </m:sSubPr>
                <m:e>
                  <m:r>
                    <w:rPr>
                      <w:rFonts w:ascii="Cambria Math" w:hAnsi="Cambria Math"/>
                    </w:rPr>
                    <m:t>RH</m:t>
                  </m:r>
                </m:e>
                <m:sub>
                  <m:r>
                    <w:rPr>
                      <w:rFonts w:ascii="Cambria Math" w:hAnsi="Cambria Math"/>
                    </w:rPr>
                    <m:t>t</m:t>
                  </m:r>
                </m:sub>
              </m:sSub>
            </m:e>
          </m:acc>
          <m:acc>
            <m:accPr>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t</m:t>
                  </m:r>
                </m:sub>
              </m:sSub>
            </m:e>
          </m:acc>
        </m:oMath>
      </m:oMathPara>
    </w:p>
    <w:p ns2:paraId="163D2CE6" ns2:textId="77777777" w:rsidR="007664A6" w:rsidRDefault="007664A6" w:rsidP="00393927">
      <w:pPr>
        <w:pStyle w:val="BodyText"/>
        <w:ind w:firstLine="14.20pt"/>
      </w:pPr>
      <w:r>
        <w:t>Where:</w:t>
      </w:r>
    </w:p>
    <w:p ns2:paraId="43F03471" ns2:textId="77777777" w:rsidR="007664A6" w:rsidRDefault="007664A6" w:rsidP="00393927">
      <w:pPr>
        <w:pStyle w:val="BodyText"/>
        <w:numPr>
          <w:ilvl w:val="0"/>
          <w:numId w:val="34"/>
        </w:numPr>
      </w:pPr>
      <w:r>
        <w:t>The tilde denote normalized variables,</w:t>
      </w:r>
    </w:p>
    <w:p ns2:paraId="7118B86D" ns2:textId="77777777" w:rsidR="007664A6" w:rsidRDefault="00000000" w:rsidP="00393927">
      <w:pPr>
        <w:pStyle w:val="BodyText"/>
        <w:numPr>
          <w:ilvl w:val="0"/>
          <w:numId w:val="34"/>
        </w:numPr>
      </w:pP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7</m:t>
            </m:r>
          </m:sub>
        </m:sSub>
      </m:oMath>
      <w:r w:rsidR="007664A6">
        <w:t xml:space="preserve"> denote weights assigned to the respective features.</w:t>
      </w:r>
    </w:p>
    <w:p ns2:paraId="5C682495" ns2:textId="77777777" w:rsidR="00393927" w:rsidRDefault="00393927" w:rsidP="00393927">
      <w:pPr>
        <w:pStyle w:val="BodyText"/>
        <w:ind w:firstLine="14.20pt"/>
      </w:pPr>
      <w:r>
        <w:t xml:space="preserve">The thermal weights in (4) were set by engineering judgement and have not been ablated; this is stated as a limitation rather than presented as a result. The hydro objective avoids the question entirely by using a single signal and therefore having no weights to defend:</w:t>
      </w:r>
    </w:p>
    <w:p ns2:paraId="50A7A22B" ns2:textId="77777777" w:rsidR="00393927" w:rsidRDefault="00393927" w:rsidP="00393927">
      <w:pPr>
        <w:pStyle w:val="BodyText"/>
        <w:ind w:firstLine="0pt"/>
      </w:pPr>
    </w:p>
    <w:p ns2:paraId="41EBAA11" ns2:textId="77777777" w:rsidR="009A39D6" w:rsidRDefault="00000000">
      <w:pPr>
        <w:pStyle w:val="Heading1"/>
      </w:pPr>
      <w:r>
        <w:t>Forecasting Model Implementation</w:t>
      </w:r>
    </w:p>
    <w:p ns2:paraId="08E819DB" ns2:textId="77777777" w:rsidR="009A39D6" w:rsidRDefault="00000000">
      <w:pPr>
        <w:pStyle w:val="BodyText"/>
      </w:pPr>
      <w:r>
        <w:t>The conceptual score in (1) requires forward estimates of its physical and market drivers for every block of the target month. Two forecasting models supply these estimates: a net-load model and an RTM price model. Both operate on the same fifteen-minute grid and share the station-weighted weather composite described earlier.</w:t>
      </w:r>
    </w:p>
    <w:p ns2:paraId="4B34AB91" ns2:textId="77777777" w:rsidR="009A39D6" w:rsidRDefault="00000000">
      <w:pPr>
        <w:pStyle w:val="Heading2"/>
      </w:pPr>
      <w:r>
        <w:t>Net-Load Forecasting Model</w:t>
      </w:r>
    </w:p>
    <w:p ns2:paraId="3EA6BEAE" ns2:textId="77777777" w:rsidR="009A39D6" w:rsidRDefault="00000000">
      <w:pPr>
        <w:pStyle w:val="BodyText"/>
      </w:pPr>
      <w:r>
        <w:t>Net load is modelled with gradient-boosted regression trees (a LightGBM regressor, with a histogram gradient-boosting fallback). The feature set combines calendar terms (hour, day of week, month, quarter, and block index), cyclical sine and cosine encodings of the hour, day of week, and block, and weather-derived terms including the temperature-humidity product, cooling-degree and heating-degree values referenced to 22 C and 18 C, and a heat index. Temporal dependence is captured through autoregressive lags at 1, 2, 4, and 8 blocks and at 1, 2, 7, 14, and roughly 364 days, weather lags at one day and one week, and rolling means and standard deviations over one day, one week, two weeks, and one year, each with an explicit missing-value flag.</w:t>
      </w:r>
    </w:p>
    <w:p ns2:paraId="1DEDED5C" ns2:textId="77777777" w:rsidR="009A39D6" w:rsidRDefault="00000000">
      <w:pPr>
        <w:pStyle w:val="BodyText"/>
      </w:pPr>
      <w:r>
        <w:t xml:space="preserve">The model is trained on the full history from July 2022. Two evaluations are reported. The first is a one-block-ahead chronological hold-out, which is the conventional figure but is not the horizon at which the framework operates. The second, and the one that governs the declaration, is a horizon-matched evaluation in which the target month is predicted in a single pass from exogenous drivers alone: an earlier recursive formulation, which fed each predicted block back as a lag for the next, was replaced because it both compounded error over 3,744 steps and required autoregressive lags that do not exist at declaration time. The exogenous feature set therefore excludes all self-referential terms, reducing the model from 57 features to 29. Exogenous weather is blended between a numerical weather forecast for the first sixteen days and a per-block historical climatology median, with an exponential-decay weight that transfers trust from the forecast toward climatology as the horizon lengthens.</w:t>
      </w:r>
    </w:p>
    <w:p ns2:paraId="4BB79539" ns2:textId="77777777" w:rsidR="009A39D6" w:rsidRDefault="00000000">
      <w:pPr>
        <w:pStyle w:val="Heading2"/>
      </w:pPr>
      <w:r>
        <w:t>Weather Compositing</w:t>
      </w:r>
    </w:p>
    <w:p ns2:paraId="5CE48B64" ns2:textId="77777777" w:rsidR="009A39D6" w:rsidRDefault="00000000">
      <w:pPr>
        <w:pStyle w:val="BodyText"/>
      </w:pPr>
      <w:r>
        <w:t xml:space="preserve">Temperature and relative humidity are drawn from forty stations spread across the NR states. Hourly values are resampled to fifteen minutes and combined into a single weighted temperature and a single weighted humidity series. The per-city weights are anchored on measured state drawal rather than on model-internal feature importance: each state's share of NR demand is computed from the state-wise SCADA record (1,701 distinct days, 29 November 2021 to 26 August 2026) and divided equally among that state's stations, since no within-state load split is measured. Deriving weights from a model's own split importance, as in an earlier version, makes the weighting a function of the fitted model rather than of the system; anchoring on measured demand removes that circularity. The provenance string, including the day count, is written into the run artifacts, and the pipeline refuses to treat the weights as publication-grade below ninety distinct days of coverage.</w:t>
      </w:r>
    </w:p>
    <w:p ns2:paraId="46C45372" ns2:textId="77777777" w:rsidR="009A39D6" w:rsidRDefault="00000000">
      <w:pPr>
        <w:pStyle w:val="Heading2"/>
      </w:pPr>
      <w:r>
        <w:lastRenderedPageBreak/>
        <w:t>RTM Price Forecasting: Hurdle-Quantile Ensemble with Climatology Decomposition</w:t>
      </w:r>
    </w:p>
    <w:p ns2:paraId="74C20744" ns2:textId="77777777" w:rsidR="009A39D6" w:rsidRDefault="00000000">
      <w:pPr>
        <w:pStyle w:val="BodyText"/>
      </w:pPr>
      <w:r>
        <w:t>Real-time prices do not behave like a single smooth series; they form a three-regime mixture. A normal band tracks the day-ahead price, a low crash regime produces near-zero prices during oversupply and high renewable output, and a high spike regime drives prices to the regulatory cap during scarcity. A single-mean or single-quantile forecast blurs these regimes together, so the price is instead modelled as a seasonal climatology plus a learned deviation:</w:t>
      </w:r>
    </w:p>
    <w:p ns2:paraId="529DA726" ns2:textId="77777777" w:rsidR="009A39D6" w:rsidRDefault="00000000">
      <w:pPr>
        <w:pStyle w:val="BodyText"/>
        <w:jc w:val="center"/>
      </w:pPr>
      <w:r>
        <w:rPr>
          <w:i/>
        </w:rPr>
        <w:t>RTM(t) = C ( block, day-type, season ) + Δ(t)          (3)</w:t>
      </w:r>
    </w:p>
    <w:p ns2:paraId="052248EE" ns2:textId="77777777" w:rsidR="009A39D6" w:rsidRDefault="00000000">
      <w:pPr>
        <w:pStyle w:val="BodyText"/>
      </w:pPr>
      <w:r>
        <w:t>The climatology term C is built from expanding, strictly past (shift-by-one) quantiles within each block, day-type, and season group, which removes look-ahead leakage and lets the same table serve the future month. The deviation term is predicted by an ensemble of five gradient-boosted quantile regressors at the 5th, 25th, 50th, 75th, and 85th percentiles, whose outputs are monotonically re-ordered. Two classifiers estimate the probability that a block belongs to the spike or the crash regime, and the final deviation is a probability-weighted mixture of the low, central, and high quantiles.</w:t>
      </w:r>
    </w:p>
    <w:p ns2:paraId="0F548A10" ns2:textId="77777777" w:rsidR="009A39D6" w:rsidRDefault="00000000">
      <w:pPr>
        <w:pStyle w:val="BodyText"/>
      </w:pPr>
      <w:r>
        <w:t xml:space="preserve">The prediction interval is calibrated by split-conformal inference. The margin is estimated on a calibration slice and coverage is then measured on a third slice used neither for fitting nor for margin estimation; an earlier version estimated the margin and reported coverage on the same rows, which measures a number against itself. Under the disjoint split the empirical coverage is 81.3 percent against a 90 percent target, with a mean interval width of 6,779 Rs/MWh, whereas the circular calibration-slice figure is 90.0 percent. The honest figure is the one reported here. Historical prices are clipped to the current regulatory cap so that profiles and classifiers learn against today's market rules, and training rows are weighted by both recency and price magnitude; the magnitude term is keyed on the target, so the fitted quantiles are quantiles of a reweighted distribution, which should be read alongside the pinball losses. In the recursive forecast, self-referential price lags and rolling statistics are frozen to climatology beyond a three-day horizon, so that only genuinely exogenous drivers steer the long-range forecast.</w:t>
      </w:r>
    </w:p>
    <w:p ns2:paraId="394132BF" ns2:textId="77777777" w:rsidR="009A39D6" w:rsidRDefault="00000000">
      <w:pPr>
        <w:pStyle w:val="Heading2"/>
      </w:pPr>
      <w:r>
        <w:t>Validation</w:t>
      </w:r>
    </w:p>
    <w:p ns2:paraId="1544A64D" ns2:textId="77777777" w:rsidR="009A39D6" w:rsidRDefault="00000000">
      <w:pPr>
        <w:pStyle w:val="BodyText"/>
      </w:pPr>
      <w:r>
        <w:t xml:space="preserve">The RTM model is validated by five-fold walk-forward, expanding-window cross-validation rather than a single split, and every fold is scored under the information set available at declaration time. An earlier version handed test rows their true one-, two- and four-block price lags and the realized day-ahead price, so it measured a fifteen-minute-ahead problem while the pipeline ships a ten- to forty-day-ahead declaration; folds now carry the production lead gap, and the cross-validation and the production forecast call the same transform so they cannot drift apart. Each fold reports mean absolute error, root-mean-square error, per-quantile pinball loss, and the precision, recall and F1 of the cap-hit classifier. The cap-hit decision threshold is swept over a grid; the sweep is reported rather than merely its argmax, because F1 proves to be non-increasing in the threshold over almost the whole grid, so its maximum sits on the grid's lower edge and widening the grid relocates that edge without making the optimum interior. That behaviour is a property of the classifier, not of the grid: the limiting case is the degenerate rule that declares every block a cap-hit. No F1-optimal operating point is therefore claimed for cap-hit detection at the declaration horizon.</w:t>
      </w:r>
    </w:p>
    <w:p ns2:paraId="05AC9472" ns2:textId="77777777" w:rsidR="009A39D6" w:rsidRDefault="00000000">
      <w:pPr>
        <w:pStyle w:val="Heading1"/>
      </w:pPr>
      <w:r>
        <w:t>Peak-Hour Scoring and Window Selection</w:t>
      </w:r>
    </w:p>
    <w:p ns2:paraId="48C77CEE" ns2:textId="77777777" w:rsidR="009A39D6" w:rsidRDefault="00000000">
      <w:pPr>
        <w:pStyle w:val="Heading2"/>
      </w:pPr>
      <w:r>
        <w:t>Composite Block Score</w:t>
      </w:r>
    </w:p>
    <w:p ns2:paraId="2810940C" ns2:textId="77777777" w:rsidR="009A39D6" w:rsidRDefault="00000000">
      <w:pPr>
        <w:pStyle w:val="BodyText"/>
      </w:pPr>
      <w:r>
        <w:t xml:space="preserve">Once net load and RTM price have been forecast for the target month, every block receives a composite peak score. All component signals are standardized with a robust, median and median-absolute-deviation z-score clipped to plus or minus five, so that a single large-scale variable cannot dominate the ranking. For the thermal declaration, whose objective is commercial, the realized score is:</w:t>
      </w:r>
    </w:p>
    <w:p ns2:paraId="1F0C652E" ns2:textId="77777777" w:rsidR="009A39D6" w:rsidRDefault="00000000">
      <w:pPr>
        <w:pStyle w:val="BodyText"/>
        <w:jc w:val="center"/>
      </w:pPr>
      <w:r>
        <w:rPr>
          <w:i/>
        </w:rPr>
        <w:t>Peak(t) = 0.70 z( NL·RTM ) + 0.08 NLScore(t) + 0.15 RTMScore(t) + 0.07 z( DAM(t) )   (4)</w:t>
      </w:r>
    </w:p>
    <w:p ns2:paraId="3EA6BEAE" ns2:textId="77777777" w:rsidR="009A39D6" w:rsidRDefault="00000000">
      <w:pPr>
        <w:pStyle w:val="BodyText"/>
      </w:pPr>
      <w:r>
        <w:t xml:space="preserve">where NL.RTM is the product of forecast net load and forecast RTM price, NLScore combines the net-load excess above a ninetieth-percentile threshold with the top-decile upward ramp, RTMScore combines the standardized RTM price with its positive ramp, and the final term aggregates day-ahead bid volumes, cleared volume, and the market clearing price.</w:t>
      </w:r>
    </w:p>
    <w:p ns2:paraId="3EA6BEAE" ns2:textId="77777777" w:rsidR="009A39D6" w:rsidRDefault="00000000">
      <w:pPr>
        <w:pStyle w:val="BodyText"/>
      </w:pPr>
      <w:r>
        <w:t xml:space="preserve">The hydro declaration uses a different and deliberately simpler objective. Hydro peak hours are declared because fast ramping capability is needed to arrest a frequency decline, which is a reliability question rather than a commercial one, and the net-load-times-price product turns out to be a poor instrument for it. Decomposing the variance of log(NL.RTM) over 145,057 blocks attributes 70.0 percent to price, 20.4 percent to the covariance, and only 9.6 percent to net load, because the standard deviation of log price is 2.7 times that of log net load. The product is therefore a price index with a weak load tilt rather than a genuine interaction: selecting on net load alone reproduces the product's window in 23 percent of months, whereas selecting on price alone reproduces it in 69 percent. Tested out of sample, dropping the net-load factor improves the declaration - see Section IX - so the hydro score is simply the robust z-score of forecast RTM price. Net load continues to shape the search through the evening-ramp gate below; it is removed from the ranking, not from the model. The mechanism is that RTM price is an equilibrium outcome of net load, so multiplying the two re-counts the single driver the price has already absorbed.</w:t>
      </w:r>
    </w:p>
    <w:p ns2:paraId="3EA6BEAE" ns2:textId="77777777" w:rsidR="009A39D6" w:rsidRDefault="00000000">
      <w:pPr>
        <w:pStyle w:val="BodyText"/>
      </w:pPr>
      <w:r>
        <w:t xml:space="preserve">One property of the price signal must be stated wherever price levels are used. RTM price is censored at the regulatory cap: 12.89 percent of all blocks, and 31.91 percent of blocks between 18:00 and 23:00, sit at or above 9,000 Rs/MWh. Within the evening window that the declaration exists to place, roughly a third of the price signal therefore reports that conditions are scarce without reporting how scarce, and no scoring rule built on price levels can rank those blocks against one another.</w:t>
      </w:r>
    </w:p>
    <w:p ns2:paraId="399260DD" ns2:textId="77777777" w:rsidR="009A39D6" w:rsidRDefault="00000000">
      <w:pPr>
        <w:pStyle w:val="BodyText"/>
      </w:pPr>
      <w:r>
        <w:t>where NL·RTM is the product of forecast net load and forecast RTM price, NLScore combines the net-load excess above a ninetieth-percentile threshold with the top-decile upward ramp, RTMScore combines the standardized RTM price with its positive ramp, and the final term aggregates day-</w:t>
      </w:r>
      <w:r>
        <w:t>ahead bid volumes, cleared volume, and the market clearing price. The net-load-times-price interaction carries the largest weight by design, so a block scores highly only when strong demand and a high price occur together rather than either alone.</w:t>
      </w:r>
    </w:p>
    <w:p ns2:paraId="3F9ADF3E" ns2:textId="77777777" w:rsidR="009A39D6" w:rsidRDefault="00000000">
      <w:pPr>
        <w:pStyle w:val="Heading2"/>
      </w:pPr>
      <w:r>
        <w:t>Evening-Ramp Gating</w:t>
      </w:r>
    </w:p>
    <w:p ns2:paraId="33732903" ns2:textId="77777777" w:rsidR="009A39D6" w:rsidRDefault="00000000">
      <w:pPr>
        <w:pStyle w:val="BodyText"/>
      </w:pPr>
      <w:r>
        <w:t>Peak windows are constrained to begin only after the evening net-load ramp has passed its mid-point. The framework locates the afternoon trough between 12:00 and 18:00 and the evening peak that follows it, and forbids any candidate window from starting before the block at which the average curve first crosses the halfway value between them. This keeps the declaration in the operationally meaningful evening and night period without hard-coding a fixed start time.</w:t>
      </w:r>
    </w:p>
    <w:p ns2:paraId="63F9299C" ns2:textId="77777777" w:rsidR="009A39D6" w:rsidRDefault="00000000">
      <w:pPr>
        <w:pStyle w:val="Heading2"/>
      </w:pPr>
      <w:r>
        <w:t>Monthly Aggregation and Recency Weighting</w:t>
      </w:r>
    </w:p>
    <w:p ns2:paraId="68BE377C" ns2:textId="77777777" w:rsidR="009A39D6" w:rsidRDefault="00000000">
      <w:pPr>
        <w:pStyle w:val="BodyText"/>
      </w:pPr>
      <w:r>
        <w:t>Block scores are aggregated across the month by several methods, including the mean, median, seventy-fifth and ninetieth percentiles, the daily top-block frequency, a market-pressure blend, a robust blend of these, and a recency-weighted mean. The default is the recency-weighted mean, in which each day's contribution is halved every fifteen days of distance from the last day of real data. Because recursive forecasts degrade with horizon, this lets the more reliable early-month days count more heavily than the late-month days.</w:t>
      </w:r>
    </w:p>
    <w:p ns2:paraId="64638CE0" ns2:textId="77777777" w:rsidR="009A39D6" w:rsidRDefault="00000000">
      <w:pPr>
        <w:pStyle w:val="Heading2"/>
      </w:pPr>
      <w:r>
        <w:t>Window Selection</w:t>
      </w:r>
    </w:p>
    <w:p ns2:paraId="5A205EBD" ns2:textId="77777777" w:rsidR="009A39D6" w:rsidRDefault="00000000">
      <w:pPr>
        <w:pStyle w:val="BodyText"/>
      </w:pPr>
      <w:r>
        <w:t xml:space="preserve">The declared peak is the fixed-duration daily window that maximizes the summed block score subject to the ramp gate. Its length is fixed by the CERC Tariff Regulations, 2024 [12] for the relevant category of generating station and is not a tunable quantity: sixteen fifteen-minute blocks, four hours, for thermal stations under Regulation 62(3), and twelve blocks, three hours, for hydro stations under Regulation 65. Both are produced, by the two objectives described above, and the length is asserted in code so that the two configurations cannot be interchanged silently. Matching the length also matters for evaluation: a sixteen-block declaration scored against the best twelve-block window necessarily exceeds 100 percent capture, because the longer window collects strictly more, so every window in this paper is scored against the optimum of its own length. The window may be continuous or split into two sub-windows of at least four blocks each, which lets the framework represent both a single evening peak and separate morning and evening peaks when the data support them while still summing to the mandated duration.</w:t>
      </w:r>
    </w:p>
    <w:p ns2:paraId="4A052828" ns2:textId="77777777" w:rsidR="00393927" w:rsidRDefault="00393927" w:rsidP="00393927">
      <w:pPr>
        <w:pStyle w:val="Heading1"/>
      </w:pPr>
      <w:r>
        <w:t xml:space="preserve">Evaluation Methodology</w:t>
      </w:r>
    </w:p>
    <w:p ns2:paraId="42E26CE2" ns2:textId="77777777" w:rsidR="00393927" w:rsidRPr="00D7522C" w:rsidRDefault="00F02772" w:rsidP="00393927">
      <w:pPr>
        <w:pStyle w:val="BodyText"/>
        <w:rPr>
          <w:lang w:val="en-US"/>
        </w:rPr>
      </w:pPr>
      <w:r>
        <w:t xml:space="preserve">Because the framework's central claims are comparative, the evaluation protocol carries as much weight as the models. Four elements define it.</w:t>
      </w:r>
    </w:p>
    <w:p ns2:paraId="0377F897" ns2:textId="77777777" w:rsidR="00393927" w:rsidRDefault="00F02772" w:rsidP="00393927">
      <w:pPr>
        <w:pStyle w:val="Heading2"/>
      </w:pPr>
      <w:r>
        <w:t xml:space="preserve">Value Capture and Regret</w:t>
      </w:r>
    </w:p>
    <w:p ns2:paraId="2C886E35" ns2:textId="77777777" w:rsidR="00393927" w:rsidRPr="005B520E" w:rsidRDefault="00F02772" w:rsidP="00393927">
      <w:pPr>
        <w:pStyle w:val="BodyText"/>
      </w:pPr>
      <w:r>
        <w:t xml:space="preserve">A declared window is scored by the fraction of the ex-post optimal window's value that it captures, where value is the sum over the window's blocks of realized net load times realized RTM price, and the optimum is the highest-valued admissible window of the SAME length. Regret is one minus that fraction. Length-matching is essential and was a defect in an earlier version of this work: a sixteen-block declaration scored against the best twelve-block window necessarily exceeds 100 percent capture, because a longer window collects strictly more. Both quantities are unitless and comparable across months, and neither requires a model to compute.</w:t>
      </w:r>
    </w:p>
    <w:p ns2:paraId="08F8A752" ns2:textId="77777777" w:rsidR="00393927" w:rsidRDefault="00F02772" w:rsidP="00393927">
      <w:pPr>
        <w:pStyle w:val="Heading2"/>
      </w:pPr>
      <w:r>
        <w:t xml:space="preserve">Baselines</w:t>
      </w:r>
    </w:p>
    <w:p ns2:paraId="4637B3E1" ns2:textId="77777777" w:rsidR="00393927" w:rsidRPr="005B520E" w:rsidRDefault="00F02772" w:rsidP="00B35B5A">
      <w:pPr>
        <w:pStyle w:val="bulletlist"/>
        <w:numPr>
          <w:ilvl w:val="0"/>
          <w:numId w:val="0"/>
        </w:numPr>
        <w:tabs>
          <w:tab w:val="clear" w:pos="14.40pt"/>
          <w:tab w:val="start" w:pos="14.20pt"/>
        </w:tabs>
        <w:ind w:firstLine="14.20pt"/>
      </w:pPr>
      <w:r>
        <w:t xml:space="preserve">Two baselines bound the problem. The first is a fixed clock window anchored at 18:30 and extended to the mandated length, representing declaration by convention. The second, and the one that matters, is seasonal-naive: declare the window that was optimal in the same calendar month of the previous year. The second baseline requires no forecast, no model and no parameters, and any proposed method must be measured against it rather than against the fixed window or against the optimum.</w:t>
      </w:r>
    </w:p>
    <w:p ns2:paraId="61FC9654" ns2:textId="77777777" w:rsidR="00393927" w:rsidRPr="005B520E" w:rsidRDefault="00B35B5A" w:rsidP="00393927">
      <w:pPr>
        <w:pStyle w:val="Heading2"/>
      </w:pPr>
      <w:r>
        <w:t xml:space="preserve">An Exogenous Criterion: Grid Frequency</w:t>
      </w:r>
    </w:p>
    <w:p ns2:paraId="321FFB52" ns2:textId="77777777" w:rsidR="00393927" w:rsidRDefault="00B35B5A" w:rsidP="00393927">
      <w:pPr>
        <w:pStyle w:val="BodyText"/>
      </w:pPr>
      <w:r>
        <w:t xml:space="preserve">Value capture is computed from the same net-load-times-price product that the thermal selector maximizes, so it cannot adjudicate between candidate objectives without circularity - a selector will always appear to perform well on the quantity it was built to maximize. Grid frequency provides an independent criterion. It is an outcome of demand rather than a driver of it, it cannot be forecast at declaration time, and it enters no feature set or score component anywhere in the framework. A genuinely tight window should sit on the day's most frequency-stressed blocks, so the mean fraction of minutes below the 49.90 Hz IEGC band is used to compare declared windows. One qualification applies throughout: frequency in India is an all-India quantity because the grid is synchronous, so it measures national rather than NR-local scarcity and is used as corroboration rather than as a target.</w:t>
      </w:r>
    </w:p>
    <w:p ns2:paraId="60DE0ED3" ns2:textId="77777777" w:rsidR="00393927" w:rsidRDefault="00B35B5A" w:rsidP="00393927">
      <w:pPr>
        <w:pStyle w:val="BodyText"/>
      </w:pPr>
      <w:r>
        <w:t xml:space="preserve">Fourth, all model evaluation is horizon-matched. Cross-validation folds carry the production lead gap, so that a model is never scored on information it would not possess when the declaration is issued, and the conformal margin is estimated and its coverage measured on disjoint slices. Both were defects in earlier versions and both materially inflated the reported accuracy.</w:t>
      </w:r>
    </w:p>
    <w:p ns2:paraId="16F0FB4B" ns2:textId="77777777" w:rsidR="009A39D6" w:rsidRDefault="00000000">
      <w:pPr>
        <w:pStyle w:val="Heading1"/>
      </w:pPr>
      <w:r>
        <w:t>Results and Discussion</w:t>
      </w:r>
    </w:p>
    <w:p ns2:paraId="35E52DA9" ns2:textId="77777777" w:rsidR="009A39D6" w:rsidRDefault="00000000">
      <w:pPr>
        <w:pStyle w:val="BodyText"/>
      </w:pPr>
      <w:r>
        <w:t xml:space="preserve">The framework was exercised end to end over roughly four years of fifteen-minute history beginning in July 2022, and evaluated against six years of real NR declarations (72 months, of which 48 have complete market and net-load actuals). Results are organized around a single question: how much forecast skill does this decision actually require? Every number below is emitted as a pipeline artifact and is reproduced by the run recorded in the accompanying history file.</w:t>
      </w:r>
    </w:p>
    <w:p ns2:paraId="3EA6BEAE" ns2:textId="77777777" w:rsidR="009A39D6" w:rsidRDefault="00000000">
      <w:pPr>
        <w:pStyle w:val="Heading2"/>
      </w:pPr>
      <w:r>
        <w:t xml:space="preserve">Forecast Accuracy at the Declaration Horizon</w:t>
      </w:r>
    </w:p>
    <w:p ns2:paraId="341575D3" ns2:textId="77777777" w:rsidR="009A39D6" w:rsidRDefault="00000000">
      <w:pPr>
        <w:pStyle w:val="BodyText"/>
      </w:pPr>
      <w:r>
        <w:t xml:space="preserve">The distinction between one-block-ahead and declaration-horizon performance dominates every accuracy result. Net load achieves a mean absolute error of 608 MW (MAPE 1.52 percent) one block ahead but 4,053 MW (MAPE 9.61 percent, R2 0.840) at the declaration horizon. RTM price achieves 366 Rs/MWh and cap-hit F1 0.916 one block ahead, against 1,143 Rs/MWh and F1 0.301 under the exogenous declaration-horizon setting, and 1,171 Rs/MWh with frozen lags. For reference, a day-ahead-price baseline gives 1,385 Rs/MWh and a climatology baseline 1,455 Rs/MWh, so the ensemble improves on the naive alternatives by roughly 18 to 21 percent while remaining far from the one-block-ahead figure that a conventional evaluation would have reported. On the disjoint test slice the conformal band covers 81.3 percent against its 90 percent target with a mean width of 6,779 Rs/MWh. These are the honest numbers, and they are weaker than the ones a horizon-mismatched evaluation produces by a factor of roughly three.</w:t>
      </w:r>
    </w:p>
    <w:p ns2:paraId="3EA6BEAE" ns2:textId="77777777" w:rsidR="009A39D6" w:rsidRDefault="00000000">
      <w:pPr>
        <w:pStyle w:val="Heading2"/>
      </w:pPr>
      <w:r>
        <w:t xml:space="preserve">Value Captured by the Incumbent Declaration</w:t>
      </w:r>
    </w:p>
    <w:p ns2:paraId="3EA6BEAE" ns2:textId="77777777" w:rsidR="009A39D6" w:rsidRDefault="00000000">
      <w:pPr>
        <w:pStyle w:val="BodyText"/>
      </w:pPr>
      <w:r>
        <w:t xml:space="preserve">Each historical declaration was scored against the ex-post optimal window of the same length, computed from realized net load and RTM price. Over 48 complete months the incumbent manual thermal declaration captures 90.69 percent of that optimum (minimum 68.04, standard deviation 6.44); the hydro declaration captures 89.53 percent. The comparison that matters, however, is not against the optimum but against a trivial rule. Simply repeating the same calendar month's optimal window from the previous year captures 98.34 percent for thermal (n = 37, minimum 92.46) and 98.52 percent for hydro. The entire forecasting stack described in Sections VI and VII is therefore competing for the residual 1.7 percent, and this, rather than any accuracy figure, is the paper's central empirical finding: at the horizon at which a peak-hour declaration must be issued, the decision needs very little forecast skill, because the quantity being predicted is strongly seasonal and its optimum is highly persistent year over year.</w:t>
      </w:r>
    </w:p>
    <w:p ns2:paraId="3EA6BEAE" ns2:textId="77777777" w:rsidR="009A39D6" w:rsidRDefault="00000000">
      <w:pPr>
        <w:pStyle w:val="Heading2"/>
      </w:pPr>
      <w:r>
        <w:t xml:space="preserve">Frequency Corroboration and Where the Framework Adds Value</w:t>
      </w:r>
    </w:p>
    <w:p ns2:paraId="3EA6BEAE" ns2:textId="77777777" w:rsidR="009A39D6" w:rsidRDefault="00000000">
      <w:pPr>
        <w:pStyle w:val="BodyText"/>
      </w:pPr>
      <w:r>
        <w:t xml:space="preserve">Value capture is computed from the same net-load-times-price product that the thermal selector maximizes, so it cannot serve as an independent check. Grid frequency is exogenous to the entire stack - it is an outcome of demand rather than a driver of it, it is not forecastable at declaration time, and it enters no feature set - so a genuinely tight window should sit on the day's most frequency-stressed blocks. Measured as the mean fraction of minutes below the 49.90 Hz IEGC band, the incumbent declared window sits at 0.078 against 0.058 for the rest of the day and 0.095 for the ex-post optimum, confirming that the declarations are directionally correct but leave headroom. Replaying the price-only hydro rule month by month, declaring each month from the same calendar month in the two preceding years and scoring on actuals, the rule captures 63.90 percent of the available frequency stress against 55.29 percent for the incumbent declaration: a gain of 8.61 percentage points (95 percent confidence interval 3.36 to 13.85, winning in 25 of 37 months, Wilcoxon p = 0.0046). The gain is concentrated in winter, at 12.67 points (5.17 to 20.18, 14 of 18 months, p = 0.0047), and is not statistically significant in summer, at 4.75 points (-2.34 to 11.85, 11 of 19 months, p = 0.258). Eight candidate objectives were compared before the price-only rule was adopted; the winter and overall results survive a Bonferroni correction for that search (adjusted p = 0.038 and 0.037 respectively), the summer result does not and is reported as a null.</w:t>
      </w:r>
    </w:p>
    <w:p ns2:paraId="3EA6BEAE" ns2:textId="77777777" w:rsidR="009A39D6" w:rsidRDefault="00000000">
      <w:pPr>
        <w:pStyle w:val="Heading2"/>
      </w:pPr>
      <w:r>
        <w:t xml:space="preserve">Reproducibility and Leakage Testing</w:t>
      </w:r>
    </w:p>
    <w:p ns2:paraId="3EA6BEAE" ns2:textId="77777777" w:rsidR="009A39D6" w:rsidRDefault="00000000">
      <w:pPr>
        <w:pStyle w:val="BodyText"/>
      </w:pPr>
      <w:r>
        <w:t xml:space="preserve">Because the declaration carries commercial weight, the pipeline is instrumented so that any published number can be traced to the code and data that produced it. Each run appends its headline scores, the repository commit, and a content hash of every input to an append-only history, and archives its result files under a run identifier, so that two runs sharing a commit and identical input fingerprints must produce identical scores. The replay backtest was tested for look-ahead leakage by scrambling the target month's prices and net load: the declared window is unchanged in all 37 months, while scrambling the history does change it, confirming that the selector sees only the information available at declaration time. Consecutive runs of the hydro replay and of the declaration benchmark are byte-identical.</w:t>
      </w:r>
    </w:p>
    <w:p ns2:paraId="3655F9CB" ns2:textId="77777777" w:rsidR="009A39D6" w:rsidRDefault="00000000">
      <w:pPr>
        <w:pStyle w:val="BodyText"/>
      </w:pPr>
      <w:r>
        <w:t xml:space="preserve">Two findings deserve emphasis, and neither is the one the framework was originally built to produce. First, the seasonal persistence of the optimum places a hard ceiling on what any forecast can contribute: a rule requiring no model at all reaches 98.3 percent of the achievable value, so claims of improvement must be stated against that baseline and in units of value capture or regret, never in units of price error alone. The price-only hydro rule does not beat this baseline on value (98.05 against 98.52, paired p = 0.319); what it beats, on an exogenous criterion, is the incumbent manual declaration. Second, the objective function matters more than the forecast that feeds it: removing net load from the hydro score changed the declared window in 17 of 37 months and improved frequency capture, while several more elaborate alternatives - rank normalization, a signal-to-noise ratio, a cap-hit-frequency term - did worse. Limitations are that the results cover a single region and a single objective family; that the information set and the score column were selected by comparison across the reported months, so a pre-registered split is required before the effect sizes can be treated as confirmatory; that the exogenous net-load model under-forecasts the late-evening plateau by roughly 2,300 MW, which biases windows early; and that the January 2026 introduction of day-ahead market coupling appears to be a genuine regime break, with test-slice errors materially worse than the cross-validation folds that precede it.</w:t>
      </w:r>
    </w:p>
    <w:p ns2:paraId="26DF720C" ns2:textId="77777777" w:rsidR="00B35B5A" w:rsidRDefault="00B35B5A" w:rsidP="00B35B5A">
      <w:pPr>
        <w:pStyle w:val="Heading1"/>
      </w:pPr>
      <w:r>
        <w:t xml:space="preserve">Threats to Validity</w:t>
      </w:r>
    </w:p>
    <w:p ns2:paraId="6526F3B9" ns2:textId="77777777" w:rsidR="00B35B5A" w:rsidRPr="00D7522C" w:rsidRDefault="00BB1329" w:rsidP="00B35B5A">
      <w:pPr>
        <w:pStyle w:val="BodyText"/>
        <w:rPr>
          <w:lang w:val="en-US"/>
        </w:rPr>
      </w:pPr>
      <w:r>
        <w:t xml:space="preserve">Four threats bear on the conclusions, and each is stated with the reason it is not fatal and the work that would close it.</w:t>
      </w:r>
    </w:p>
    <w:p ns2:paraId="2260F758" ns2:textId="77777777" w:rsidR="00B35B5A" w:rsidRDefault="00BB1329" w:rsidP="00B35B5A">
      <w:pPr>
        <w:pStyle w:val="Heading2"/>
      </w:pPr>
      <w:r>
        <w:t xml:space="preserve">Selection on the Evaluation Sample</w:t>
      </w:r>
    </w:p>
    <w:p ns2:paraId="7CFDBD76" ns2:textId="77777777" w:rsidR="00B35B5A" w:rsidRDefault="00BB1329" w:rsidP="00BB1329">
      <w:pPr>
        <w:pStyle w:val="BodyText"/>
      </w:pPr>
      <w:r>
        <w:t xml:space="preserve">The information set used for the replay, the same calendar month in the two preceding years, and the choice of scoring signal were both settled by comparing candidates across the same months on which results are then reported. Eight candidate objectives were compared in total. The reported effect sizes are therefore selective, and the overall and winter frequency results are quoted with a Bonferroni correction for that search; they survive it, and the summer result does not and is reported as a null. This makes the findings exploratory rather than confirmatory. A pre-registered split, freezing the objective on the earlier months and reporting only on the later ones, is required before the effect sizes should be treated as established, and is the principal item of further work.</w:t>
      </w:r>
    </w:p>
    <w:p ns2:paraId="2D5A578C" ns2:textId="77777777" w:rsidR="00B35B5A" w:rsidRPr="005B520E" w:rsidRDefault="00BB1329" w:rsidP="00B35B5A">
      <w:pPr>
        <w:pStyle w:val="Heading2"/>
      </w:pPr>
      <w:r>
        <w:t xml:space="preserve">Known Model Defects</w:t>
      </w:r>
    </w:p>
    <w:p ns2:paraId="7DDD5D1D" ns2:textId="77777777" w:rsidR="00BB1329" w:rsidRDefault="00BB1329" w:rsidP="00BB1329">
      <w:pPr>
        <w:pStyle w:val="BodyText"/>
      </w:pPr>
      <w:r>
        <w:t xml:space="preserve">The exogenous net-load model reproduces the evening rise but decays through the late evening, under-forecasting the 21:45 to 23:00 plateau by approximately 2,300 MW relative to the same calendar month in prior years, whereas the measured series is flat to about 23:00. This biases declared windows early. The effect is tracked as a standing metric in the run history rather than corrected, because the correction is a modelling change whose interaction with the price-only objective, which also moved most windows earlier, has not been characterised. A second defect is that gap-filling in the net-load series uses the following day's corresponding block on approximately 2.6 percent of days; those rows are target-contaminated and should be excluded from evaluation.</w:t>
      </w:r>
    </w:p>
    <w:p ns2:paraId="02A9B51C" ns2:textId="77777777" w:rsidR="00BB1329" w:rsidRPr="005B520E" w:rsidRDefault="00BB1329" w:rsidP="00BB1329">
      <w:pPr>
        <w:pStyle w:val="Heading2"/>
      </w:pPr>
      <w:r>
        <w:lastRenderedPageBreak/>
        <w:t xml:space="preserve">Regime Change and Generalizability</w:t>
      </w:r>
    </w:p>
    <w:p ns2:paraId="4395A154" ns2:textId="77777777" w:rsidR="00BB1329" w:rsidRDefault="0034389E" w:rsidP="00BB1329">
      <w:pPr>
        <w:pStyle w:val="BodyText"/>
      </w:pPr>
      <w:r>
        <w:t xml:space="preserve">Errors on the most recent test slice are materially worse than on the cross-validation folds that precede it, which all fall in 2025. The introduction of day-ahead market coupling in January 2026 is the most plausible cause, and it is a genuine regime break rather than an estimation failure; any model trained on the earlier period should be expected to degrade. Separately, all results come from one region, one system operator and one objective family, so the transferable contribution is the evaluation protocol - length-matched value capture, the seasonal-naive baseline, and the exogenous frequency criterion - rather than the particular window or weights reported here.</w:t>
      </w:r>
    </w:p>
    <w:p ns2:paraId="2044C494" ns2:textId="77777777" w:rsidR="0034389E" w:rsidRDefault="0034389E" w:rsidP="0034389E">
      <w:pPr>
        <w:pStyle w:val="Heading2"/>
      </w:pPr>
      <w:r>
        <w:t xml:space="preserve">Price Censoring and Endogeneity</w:t>
      </w:r>
    </w:p>
    <w:p ns2:paraId="093629C6" ns2:textId="77777777" w:rsidR="0034389E" w:rsidRDefault="0034389E" w:rsidP="0034389E">
      <w:pPr>
        <w:pStyle w:val="BodyText"/>
      </w:pPr>
      <w:r>
        <w:t xml:space="preserve">The framework's principal signal is censored: 12.89 percent of all blocks, and 31.91 percent of blocks between 18:00 and 23:00, clear at or above 9,000 Rs/MWh against a 10,000 Rs/MWh cap. Within the evening period that the declaration exists to place, roughly one block in three reports that conditions are scarce without reporting how scarce, so no rule built on price levels can order those blocks. A further caveat is that the ex-post optimum is computed from realized prices under the counterfactual that the declaration itself does not move them; because the declaration alters availability incentives and hence bidding, the measured headroom should be read as an upper bound on what a better declaration could recover.</w:t>
      </w:r>
    </w:p>
    <w:p ns2:paraId="7DED59C2" ns2:textId="77777777" w:rsidR="00BB1329" w:rsidRPr="00D7522C" w:rsidRDefault="00BB1329" w:rsidP="00BB1329">
      <w:pPr>
        <w:pStyle w:val="BodyText"/>
        <w:rPr>
          <w:lang w:val="en-US"/>
        </w:rPr>
      </w:pPr>
    </w:p>
    <w:p ns2:paraId="15995699" ns2:textId="77777777" w:rsidR="00B35B5A" w:rsidRPr="00D7522C" w:rsidRDefault="00B35B5A" w:rsidP="00B35B5A">
      <w:pPr>
        <w:pStyle w:val="BodyText"/>
        <w:rPr>
          <w:lang w:val="en-US"/>
        </w:rPr>
      </w:pPr>
    </w:p>
    <w:p ns2:paraId="369BED72" ns2:textId="77777777" w:rsidR="00393927" w:rsidRPr="005B520E" w:rsidRDefault="00393927" w:rsidP="00393927">
      <w:pPr>
        <w:pStyle w:val="BodyText"/>
        <w:ind w:firstLine="0pt"/>
      </w:pPr>
    </w:p>
    <w:p ns2:paraId="3EA6BEAE" ns2:textId="77777777" w:rsidR="009A39D6" w:rsidRDefault="00000000">
      <w:pPr>
        <w:pStyle w:val="Heading1"/>
      </w:pPr>
      <w:r>
        <w:t xml:space="preserve">Conclusion</w:t>
      </w:r>
    </w:p>
    <w:p ns2:paraId="3EA6BEAE" ns2:textId="77777777" w:rsidR="009A39D6" w:rsidRDefault="00000000">
      <w:pPr>
        <w:pStyle w:val="BodyText"/>
      </w:pPr>
      <w:r>
        <w:t xml:space="preserve">A complete forecasting stack was built for peak-hour declaration in the Northern Region and then measured at the horizon at which the declaration is issued. Under horizon-matched validation the stack is weak: real-time price error rises from 366 to 1,143 Rs/MWh, net-load error from 608 to 4,053 MW, and conformal coverage falls to 81.3 percent against a 90 percent target. The more consequential finding is that this scarcely constrains the decision. Repeating the previous year's optimal window for the same calendar month captures 98.3 percent of achievable value for the thermal declaration and 98.5 percent for hydro, so the entire forecasting apparatus competes for under two percentage points. Peak-hour declaration is a strongly seasonal, highly persistent problem, and treating it primarily as a forecasting problem misallocates effort.</w:t>
      </w:r>
    </w:p>
    <w:p ns2:paraId="3EA6BEAE" ns2:textId="77777777" w:rsidR="009A39D6" w:rsidRDefault="00000000">
      <w:pPr>
        <w:pStyle w:val="BodyText"/>
      </w:pPr>
      <w:r>
        <w:t xml:space="preserve">Where effort does pay is in the objective and in the evaluation. Six years of real declarations capture 90.7 percent of the length-matched optimum for thermal and 89.5 percent for hydro, leaving genuine headroom against the naive rule. Judged on grid frequency, which is exogenous to the whole framework and enters no feature set, a price-only rule for the hydro window places the declaration on 8.6 percentage points more frequency stress than the incumbent declaration, and 12.7 points more in winter, where the incumbent's morning segment is placed too early; the summer difference is not significant. That rule uses one published signal, has no fitted weights, and can be recomputed by any stakeholder from public data - properties that matter for a determination the regulations require to be consulted upon.</w:t>
      </w:r>
    </w:p>
    <w:p ns2:paraId="3EA6BEAE" ns2:textId="77777777" w:rsidR="009A39D6" w:rsidRDefault="00000000">
      <w:pPr>
        <w:pStyle w:val="BodyText"/>
      </w:pPr>
      <w:r>
        <w:t xml:space="preserve">Three directions follow. The evaluation protocol used here - length-matched value capture against a seasonal-naive baseline, with an exogenous criterion to break circularity - transfers directly to other regions and other declaration regimes, and is the component most worth reusing. The selection-on-sample threat should be closed by freezing the objective on an earlier period and reporting on a later one. And because the measured headroom assumes the declaration does not itself move prices, quantifying that feedback is the natural next question for any operator who acts on these results.</w:t>
      </w:r>
    </w:p>
    <w:p ns2:paraId="1B5CA7EE" ns2:textId="77777777" w:rsidR="0080791D" w:rsidRDefault="0080791D" w:rsidP="0080791D">
      <w:pPr>
        <w:pStyle w:val="Heading5"/>
      </w:pPr>
      <w:r>
        <w:t xml:space="preserve">Acknowledgment </w:t>
      </w:r>
      <w:r>
        <w:rPr>
          <w:i/>
          <w:iCs/>
        </w:rPr>
        <w:t>(</w:t>
      </w:r>
      <w:r>
        <w:rPr>
          <w:i/>
          <w:iCs/>
          <w:smallCaps w:val="0"/>
        </w:rPr>
        <w:t>Heading 5</w:t>
      </w:r>
      <w:r>
        <w:rPr>
          <w:i/>
          <w:iCs/>
        </w:rPr>
        <w:t>)</w:t>
      </w:r>
    </w:p>
    <w:p ns2:paraId="4CA31E5E" ns2:textId="77777777" w:rsidR="00575BCA" w:rsidRDefault="0080791D" w:rsidP="00836367">
      <w:pPr>
        <w:pStyle w:val="BodyText"/>
      </w:pPr>
      <w:r>
        <w:t>The preferred spelling of the word “acknowledgment” in America is without an “e” after the “g”. Avoid the stilted expression “</w:t>
      </w:r>
      <w:r>
        <w:rPr>
          <w:lang w:val="en-US"/>
        </w:rPr>
        <w:t>o</w:t>
      </w:r>
      <w:r>
        <w:t>ne of us (R. B. G.) thanks ...</w:t>
      </w:r>
      <w:r>
        <w:rPr>
          <w:lang w:val="en-US"/>
        </w:rPr>
        <w:t xml:space="preserve">”.  </w:t>
      </w:r>
      <w:r>
        <w:t>Instead, try “R. B. G. thanks...”.</w:t>
      </w:r>
      <w:r>
        <w:rPr>
          <w:lang w:val="en-US"/>
        </w:rPr>
        <w:t xml:space="preserve"> </w:t>
      </w:r>
      <w:r>
        <w:t>Put sponsor acknowledgments in the unnumbered footnote on the first page.</w:t>
      </w:r>
    </w:p>
    <w:p ns2:paraId="28D0CBE0" ns2:textId="77777777" w:rsidR="009303D9" w:rsidRDefault="009303D9" w:rsidP="00A059B3">
      <w:pPr>
        <w:pStyle w:val="Heading5"/>
      </w:pPr>
      <w:r>
        <w:t>References</w:t>
      </w:r>
    </w:p>
    <w:p ns2:paraId="6D2A0E0A" ns2:textId="77777777" w:rsidR="009303D9" w:rsidRPr="005B520E" w:rsidRDefault="009303D9" w:rsidP="00E7596C">
      <w:pPr>
        <w:pStyle w:val="BodyText"/>
      </w:pPr>
      <w: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t>...”</w:t>
      </w:r>
    </w:p>
    <w:p ns2:paraId="01698248" ns2:textId="77777777" w:rsidR="009303D9" w:rsidRPr="005B520E" w:rsidRDefault="009303D9" w:rsidP="00E7596C">
      <w:pPr>
        <w:pStyle w:val="BodyText"/>
      </w:pPr>
      <w:r>
        <w:t>Number footnotes separately in superscripts. Place the actual footnote at the bottom of the column in which it was cited. Do not put footnotes in the</w:t>
      </w:r>
      <w:r>
        <w:rPr>
          <w:lang w:val="en-US"/>
        </w:rPr>
        <w:t xml:space="preserve"> abstract or</w:t>
      </w:r>
      <w:r>
        <w:t xml:space="preserve"> reference list. Use letters for table footnotes.</w:t>
      </w:r>
    </w:p>
    <w:p ns2:paraId="47B7C651" ns2:textId="77777777" w:rsidR="009303D9" w:rsidRPr="005B520E" w:rsidRDefault="009303D9" w:rsidP="00E7596C">
      <w:pPr>
        <w:pStyle w:val="BodyText"/>
      </w:pPr>
      <w:r>
        <w:t>Unless there are six authors or more give all authors</w:t>
      </w:r>
      <w:r>
        <w:rPr>
          <w:lang w:val="en-US"/>
        </w:rPr>
        <w:t xml:space="preserve">’ </w:t>
      </w:r>
      <w: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ns2:paraId="703FFA2D" ns2:textId="77777777" w:rsidR="009303D9" w:rsidRPr="005B520E" w:rsidRDefault="009303D9" w:rsidP="00E7596C">
      <w:pPr>
        <w:pStyle w:val="BodyText"/>
      </w:pPr>
      <w:r>
        <w:t>For papers published in translation journals, please give the English citation first, followed by the original foreign-language citation [6].</w:t>
      </w:r>
    </w:p>
    <w:p ns2:paraId="616D731A" ns2:textId="77777777" w:rsidR="009303D9" w:rsidRPr="005B520E" w:rsidRDefault="009303D9"/>
    <w:p ns2:paraId="40CEAEB5" ns2:textId="77777777" w:rsidR="009A39D6" w:rsidRDefault="00000000">
      <w:pPr>
        <w:pStyle w:val="references"/>
        <w:ind w:start="17.70pt" w:hanging="17.70pt"/>
        <w:jc w:val="start"/>
      </w:pPr>
      <w:r>
        <w:t>Central Electricity Regulatory Commission, “Central Electricity Regulatory Commission (Terms and Conditions of Tariff) Regulations, 2024,” Regulations 62(3) and 65, Notification No. L-1/268/2022/CERC, New Delhi, India, 15 Mar. 2024.</w:t>
      </w:r>
    </w:p>
    <w:p ns2:paraId="5411270D" ns2:textId="77777777" w:rsidR="009A39D6" w:rsidRDefault="00000000">
      <w:pPr>
        <w:pStyle w:val="references"/>
        <w:ind w:start="17.70pt" w:hanging="17.70pt"/>
        <w:jc w:val="start"/>
      </w:pPr>
      <w:r>
        <w:t>Central Electricity Regulatory Commission, “Central Electricity Regulatory Commission (Indian Electricity Grid Code) Regulations, 2023,” Regulations 31 and 127, Notification No. L-1/265/2022/CERC, New Delhi, India, 29 May 2023.</w:t>
      </w:r>
    </w:p>
    <w:p ns2:paraId="3113FAA3" ns2:textId="77777777" w:rsidR="008147B5" w:rsidRDefault="008147B5" w:rsidP="008147B5">
      <w:pPr>
        <w:pStyle w:val="references"/>
        <w:numPr>
          <w:ilvl w:val="0"/>
          <w:numId w:val="0"/>
        </w:numPr>
        <w:ind w:start="17.70pt"/>
      </w:pPr>
    </w:p>
    <w:p ns2:paraId="6682FBAE" ns2:textId="77777777" w:rsidR="009303D9" w:rsidRDefault="009303D9" w:rsidP="00836367">
      <w:pPr>
        <w:pStyle w:val="references"/>
        <w:numPr>
          <w:ilvl w:val="0"/>
          <w:numId w:val="0"/>
        </w:numPr>
        <w:ind w:start="18pt" w:hanging="18pt"/>
      </w:pPr>
    </w:p>
    <w:p ns2:paraId="49FE3274" ns2: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noProof w:val="0"/>
          <w:color w:val="FF0000"/>
          <w:spacing w:val="-1"/>
          <w:sz w:val="20"/>
          <w:szCs w:val="20"/>
          <w:lang w:eastAsia="x-none"/>
        </w:rPr>
        <w:t>may</w:t>
      </w:r>
      <w:r>
        <w:rPr>
          <w:rFonts w:eastAsia="SimSun"/>
          <w:b/>
          <w:noProof w:val="0"/>
          <w:color w:val="FF0000"/>
          <w:spacing w:val="-1"/>
          <w:sz w:val="20"/>
          <w:szCs w:val="20"/>
          <w:lang w:val="x-none" w:eastAsia="x-none"/>
        </w:rPr>
        <w:t xml:space="preserve"> result in your paper not being published.</w:t>
      </w:r>
    </w:p>
    <w:p ns2:paraId="37E269BA" ns2:textId="77777777" w:rsidR="009303D9" w:rsidRDefault="003B2B40" w:rsidP="005B520E">
      <w:r>
        <w:rPr>
          <w:noProof/>
        </w:rPr>
        <w:lastRenderedPageBreak/>
        <w:drawing>
          <ns5:anchor distT="0" distB="0" distL="114300" distR="114300" simplePos="0" relativeHeight="251657728" behindDoc="1" locked="0" layoutInCell="1" allowOverlap="1" ns6:anchorId="50A5432F" ns6:editId="6F0F41D4">
            <ns5:simplePos x="0" y="0"/>
            <ns5:positionH relativeFrom="margin">
              <ns5:align>left</ns5:align>
            </ns5:positionH>
            <ns5:positionV relativeFrom="paragraph">
              <ns5:posOffset>251460</ns5:posOffset>
            </ns5:positionV>
            <ns5:extent cx="3200400" cy="1143000"/>
            <ns5:effectExtent l="10795" t="5080" r="8255" b="13970"/>
            <ns5:wrapTight wrapText="bothSides">
              <ns5:wrapPolygon edited="0">
                <ns5:start x="-64" y="0"/>
                <ns5:lineTo x="-64" y="21600"/>
                <ns5:lineTo x="21664" y="21600"/>
                <ns5:lineTo x="21664" y="0"/>
                <ns5:lineTo x="-64" y="0"/>
              </ns5:wrapPolygon>
            </ns5:wrapTight>
            <ns5:docPr id="1" name="Text Box 8"/>
            <ns5:cNvGraphicFramePr>
              <ns7:graphicFrameLocks/>
            </ns5:cNvGraphicFramePr>
            <ns7:graphic>
              <ns7:graphicData uri="http://schemas.microsoft.com/office/word/2010/wordprocessingShape">
                <ns5:wsp>
                  <ns5:cNvSpPr txBox="1">
                    <ns7:spLocks noChangeArrowheads="1"/>
                  </ns5:cNvSpPr>
                  <ns5:spPr bwMode="auto">
                    <ns7:xfrm>
                      <ns7:off x="0" y="0"/>
                      <ns7:ext cx="3200400" cy="1143000"/>
                    </ns7:xfrm>
                    <ns7:prstGeom prst="rect">
                      <ns7:avLst/>
                    </ns7:prstGeom>
                    <ns7:solidFill>
                      <ns7:srgbClr val="FFFFFF"/>
                    </ns7:solidFill>
                    <ns7:ln w="9525">
                      <ns7:solidFill>
                        <ns7:srgbClr val="000000"/>
                      </ns7:solidFill>
                      <ns7:miter lim="800%"/>
                      <ns7:headEnd/>
                      <ns7:tailEnd/>
                    </ns7:ln>
                  </ns5:spPr>
                  <ns5:txbx>
                    <ns8:txbxContent>
                      <w:p ns2:paraId="0B15CF62" ns2: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ns2:paraId="5EC1A9DB" ns2:textId="77777777" w:rsidR="0080791D" w:rsidRDefault="0080791D" w:rsidP="00E7596C">
                        <w:pPr>
                          <w:pStyle w:val="BodyText"/>
                        </w:pPr>
                        <w:r>
                          <w:t>To have non-visible rules on your frame, use the MSWord “Format” pull-down menu, select Text Box &gt; Colors and Lines to choose No Fill and No Line.</w:t>
                        </w:r>
                      </w:p>
                    </ns8:txbxContent>
                  </ns5:txbx>
                  <ns5:bodyPr rot="0" vert="horz" wrap="square" lIns="91440" tIns="45720" rIns="91440" bIns="45720" anchor="t" anchorCtr="0" upright="1">
                    <ns7:noAutofit/>
                  </ns5:bodyPr>
                </ns5:wsp>
              </ns7:graphicData>
            </ns7:graphic>
            <ns6:sizeRelH relativeFrom="page">
              <ns6:pctWidth>0%</ns6:pctWidth>
            </ns6:sizeRelH>
            <ns6:sizeRelV relativeFrom="page">
              <ns6:pctHeight>0%</ns6:pctHeight>
            </ns6:sizeRelV>
          </ns5: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42A5133" w14:textId="77777777" w:rsidR="00A6565D" w:rsidRDefault="00A6565D" w:rsidP="001A3B3D">
      <w:r>
        <w:separator/>
      </w:r>
    </w:p>
  </w:endnote>
  <w:endnote w:type="continuationSeparator" w:id="0">
    <w:p w14:paraId="3CFF9590" w14:textId="77777777" w:rsidR="00A6565D" w:rsidRDefault="00A6565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15BC2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2824B79" w14:textId="77777777" w:rsidR="00A6565D" w:rsidRDefault="00A6565D" w:rsidP="001A3B3D">
      <w:r>
        <w:separator/>
      </w:r>
    </w:p>
  </w:footnote>
  <w:footnote w:type="continuationSeparator" w:id="0">
    <w:p w14:paraId="24E5F72B" w14:textId="77777777" w:rsidR="00A6565D" w:rsidRDefault="00A6565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2BF07C5"/>
    <w:multiLevelType w:val="hybridMultilevel"/>
    <w:tmpl w:val="9AB825E0"/>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12" w15:restartNumberingAfterBreak="0">
    <w:nsid w:val="07DD5CC3"/>
    <w:multiLevelType w:val="hybridMultilevel"/>
    <w:tmpl w:val="BF967F48"/>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67C7C67"/>
    <w:multiLevelType w:val="hybridMultilevel"/>
    <w:tmpl w:val="A8F09EC2"/>
    <w:lvl w:ilvl="0" w:tplc="40090001">
      <w:start w:val="1"/>
      <w:numFmt w:val="bullet"/>
      <w:lvlText w:val=""/>
      <w:lvlJc w:val="start"/>
      <w:pPr>
        <w:ind w:start="72pt" w:hanging="18pt"/>
      </w:pPr>
      <w:rPr>
        <w:rFonts w:ascii="Symbol" w:hAnsi="Symbol" w:hint="default"/>
      </w:rPr>
    </w:lvl>
    <w:lvl w:ilvl="1" w:tplc="40090003" w:tentative="1">
      <w:start w:val="1"/>
      <w:numFmt w:val="bullet"/>
      <w:lvlText w:val="o"/>
      <w:lvlJc w:val="start"/>
      <w:pPr>
        <w:ind w:start="108pt" w:hanging="18pt"/>
      </w:pPr>
      <w:rPr>
        <w:rFonts w:ascii="Courier New" w:hAnsi="Courier New" w:cs="Courier New" w:hint="default"/>
      </w:rPr>
    </w:lvl>
    <w:lvl w:ilvl="2" w:tplc="40090005" w:tentative="1">
      <w:start w:val="1"/>
      <w:numFmt w:val="bullet"/>
      <w:lvlText w:val=""/>
      <w:lvlJc w:val="start"/>
      <w:pPr>
        <w:ind w:start="144pt" w:hanging="18pt"/>
      </w:pPr>
      <w:rPr>
        <w:rFonts w:ascii="Wingdings" w:hAnsi="Wingdings" w:hint="default"/>
      </w:rPr>
    </w:lvl>
    <w:lvl w:ilvl="3" w:tplc="40090001" w:tentative="1">
      <w:start w:val="1"/>
      <w:numFmt w:val="bullet"/>
      <w:lvlText w:val=""/>
      <w:lvlJc w:val="start"/>
      <w:pPr>
        <w:ind w:start="180pt" w:hanging="18pt"/>
      </w:pPr>
      <w:rPr>
        <w:rFonts w:ascii="Symbol" w:hAnsi="Symbol" w:hint="default"/>
      </w:rPr>
    </w:lvl>
    <w:lvl w:ilvl="4" w:tplc="40090003" w:tentative="1">
      <w:start w:val="1"/>
      <w:numFmt w:val="bullet"/>
      <w:lvlText w:val="o"/>
      <w:lvlJc w:val="start"/>
      <w:pPr>
        <w:ind w:start="216pt" w:hanging="18pt"/>
      </w:pPr>
      <w:rPr>
        <w:rFonts w:ascii="Courier New" w:hAnsi="Courier New" w:cs="Courier New" w:hint="default"/>
      </w:rPr>
    </w:lvl>
    <w:lvl w:ilvl="5" w:tplc="40090005" w:tentative="1">
      <w:start w:val="1"/>
      <w:numFmt w:val="bullet"/>
      <w:lvlText w:val=""/>
      <w:lvlJc w:val="start"/>
      <w:pPr>
        <w:ind w:start="252pt" w:hanging="18pt"/>
      </w:pPr>
      <w:rPr>
        <w:rFonts w:ascii="Wingdings" w:hAnsi="Wingdings" w:hint="default"/>
      </w:rPr>
    </w:lvl>
    <w:lvl w:ilvl="6" w:tplc="40090001" w:tentative="1">
      <w:start w:val="1"/>
      <w:numFmt w:val="bullet"/>
      <w:lvlText w:val=""/>
      <w:lvlJc w:val="start"/>
      <w:pPr>
        <w:ind w:start="288pt" w:hanging="18pt"/>
      </w:pPr>
      <w:rPr>
        <w:rFonts w:ascii="Symbol" w:hAnsi="Symbol" w:hint="default"/>
      </w:rPr>
    </w:lvl>
    <w:lvl w:ilvl="7" w:tplc="40090003" w:tentative="1">
      <w:start w:val="1"/>
      <w:numFmt w:val="bullet"/>
      <w:lvlText w:val="o"/>
      <w:lvlJc w:val="start"/>
      <w:pPr>
        <w:ind w:start="324pt" w:hanging="18pt"/>
      </w:pPr>
      <w:rPr>
        <w:rFonts w:ascii="Courier New" w:hAnsi="Courier New" w:cs="Courier New" w:hint="default"/>
      </w:rPr>
    </w:lvl>
    <w:lvl w:ilvl="8" w:tplc="40090005" w:tentative="1">
      <w:start w:val="1"/>
      <w:numFmt w:val="bullet"/>
      <w:lvlText w:val=""/>
      <w:lvlJc w:val="start"/>
      <w:pPr>
        <w:ind w:start="360pt" w:hanging="18pt"/>
      </w:pPr>
      <w:rPr>
        <w:rFonts w:ascii="Wingdings" w:hAnsi="Wingdings" w:hint="default"/>
      </w:rPr>
    </w:lvl>
  </w:abstractNum>
  <w:abstractNum w:abstractNumId="17" w15:restartNumberingAfterBreak="0">
    <w:nsid w:val="36A33A7C"/>
    <w:multiLevelType w:val="hybridMultilevel"/>
    <w:tmpl w:val="D28002F4"/>
    <w:lvl w:ilvl="0" w:tplc="40090001">
      <w:start w:val="1"/>
      <w:numFmt w:val="bullet"/>
      <w:lvlText w:val=""/>
      <w:lvlJc w:val="start"/>
      <w:pPr>
        <w:ind w:start="86.40pt" w:hanging="18pt"/>
      </w:pPr>
      <w:rPr>
        <w:rFonts w:ascii="Symbol" w:hAnsi="Symbol" w:hint="default"/>
      </w:rPr>
    </w:lvl>
    <w:lvl w:ilvl="1" w:tplc="40090003" w:tentative="1">
      <w:start w:val="1"/>
      <w:numFmt w:val="bullet"/>
      <w:lvlText w:val="o"/>
      <w:lvlJc w:val="start"/>
      <w:pPr>
        <w:ind w:start="122.40pt" w:hanging="18pt"/>
      </w:pPr>
      <w:rPr>
        <w:rFonts w:ascii="Courier New" w:hAnsi="Courier New" w:cs="Courier New" w:hint="default"/>
      </w:rPr>
    </w:lvl>
    <w:lvl w:ilvl="2" w:tplc="40090005" w:tentative="1">
      <w:start w:val="1"/>
      <w:numFmt w:val="bullet"/>
      <w:lvlText w:val=""/>
      <w:lvlJc w:val="start"/>
      <w:pPr>
        <w:ind w:start="158.40pt" w:hanging="18pt"/>
      </w:pPr>
      <w:rPr>
        <w:rFonts w:ascii="Wingdings" w:hAnsi="Wingdings" w:hint="default"/>
      </w:rPr>
    </w:lvl>
    <w:lvl w:ilvl="3" w:tplc="40090001" w:tentative="1">
      <w:start w:val="1"/>
      <w:numFmt w:val="bullet"/>
      <w:lvlText w:val=""/>
      <w:lvlJc w:val="start"/>
      <w:pPr>
        <w:ind w:start="194.40pt" w:hanging="18pt"/>
      </w:pPr>
      <w:rPr>
        <w:rFonts w:ascii="Symbol" w:hAnsi="Symbol" w:hint="default"/>
      </w:rPr>
    </w:lvl>
    <w:lvl w:ilvl="4" w:tplc="40090003" w:tentative="1">
      <w:start w:val="1"/>
      <w:numFmt w:val="bullet"/>
      <w:lvlText w:val="o"/>
      <w:lvlJc w:val="start"/>
      <w:pPr>
        <w:ind w:start="230.40pt" w:hanging="18pt"/>
      </w:pPr>
      <w:rPr>
        <w:rFonts w:ascii="Courier New" w:hAnsi="Courier New" w:cs="Courier New" w:hint="default"/>
      </w:rPr>
    </w:lvl>
    <w:lvl w:ilvl="5" w:tplc="40090005" w:tentative="1">
      <w:start w:val="1"/>
      <w:numFmt w:val="bullet"/>
      <w:lvlText w:val=""/>
      <w:lvlJc w:val="start"/>
      <w:pPr>
        <w:ind w:start="266.40pt" w:hanging="18pt"/>
      </w:pPr>
      <w:rPr>
        <w:rFonts w:ascii="Wingdings" w:hAnsi="Wingdings" w:hint="default"/>
      </w:rPr>
    </w:lvl>
    <w:lvl w:ilvl="6" w:tplc="40090001" w:tentative="1">
      <w:start w:val="1"/>
      <w:numFmt w:val="bullet"/>
      <w:lvlText w:val=""/>
      <w:lvlJc w:val="start"/>
      <w:pPr>
        <w:ind w:start="302.40pt" w:hanging="18pt"/>
      </w:pPr>
      <w:rPr>
        <w:rFonts w:ascii="Symbol" w:hAnsi="Symbol" w:hint="default"/>
      </w:rPr>
    </w:lvl>
    <w:lvl w:ilvl="7" w:tplc="40090003" w:tentative="1">
      <w:start w:val="1"/>
      <w:numFmt w:val="bullet"/>
      <w:lvlText w:val="o"/>
      <w:lvlJc w:val="start"/>
      <w:pPr>
        <w:ind w:start="338.40pt" w:hanging="18pt"/>
      </w:pPr>
      <w:rPr>
        <w:rFonts w:ascii="Courier New" w:hAnsi="Courier New" w:cs="Courier New" w:hint="default"/>
      </w:rPr>
    </w:lvl>
    <w:lvl w:ilvl="8" w:tplc="40090005" w:tentative="1">
      <w:start w:val="1"/>
      <w:numFmt w:val="bullet"/>
      <w:lvlText w:val=""/>
      <w:lvlJc w:val="start"/>
      <w:pPr>
        <w:ind w:start="374.40pt" w:hanging="18pt"/>
      </w:pPr>
      <w:rPr>
        <w:rFonts w:ascii="Wingdings" w:hAnsi="Wingdings" w:hint="default"/>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32.20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8796694"/>
    <w:multiLevelType w:val="hybridMultilevel"/>
    <w:tmpl w:val="FF4231C4"/>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4" w15:restartNumberingAfterBreak="0">
    <w:nsid w:val="5C516140"/>
    <w:multiLevelType w:val="hybridMultilevel"/>
    <w:tmpl w:val="4C04CB12"/>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5" w15:restartNumberingAfterBreak="0">
    <w:nsid w:val="5CDD41E3"/>
    <w:multiLevelType w:val="hybridMultilevel"/>
    <w:tmpl w:val="E3D28806"/>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6" w15:restartNumberingAfterBreak="0">
    <w:nsid w:val="5FEC3C80"/>
    <w:multiLevelType w:val="hybridMultilevel"/>
    <w:tmpl w:val="84F64CAA"/>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7" w15:restartNumberingAfterBreak="0">
    <w:nsid w:val="63AC1136"/>
    <w:multiLevelType w:val="hybridMultilevel"/>
    <w:tmpl w:val="FDDA2976"/>
    <w:lvl w:ilvl="0" w:tplc="40090001">
      <w:start w:val="1"/>
      <w:numFmt w:val="bullet"/>
      <w:lvlText w:val=""/>
      <w:lvlJc w:val="start"/>
      <w:pPr>
        <w:ind w:start="50.20pt" w:hanging="18pt"/>
      </w:pPr>
      <w:rPr>
        <w:rFonts w:ascii="Symbol" w:hAnsi="Symbol" w:hint="default"/>
      </w:rPr>
    </w:lvl>
    <w:lvl w:ilvl="1" w:tplc="40090003" w:tentative="1">
      <w:start w:val="1"/>
      <w:numFmt w:val="bullet"/>
      <w:lvlText w:val="o"/>
      <w:lvlJc w:val="start"/>
      <w:pPr>
        <w:ind w:start="86.20pt" w:hanging="18pt"/>
      </w:pPr>
      <w:rPr>
        <w:rFonts w:ascii="Courier New" w:hAnsi="Courier New" w:cs="Courier New" w:hint="default"/>
      </w:rPr>
    </w:lvl>
    <w:lvl w:ilvl="2" w:tplc="40090005" w:tentative="1">
      <w:start w:val="1"/>
      <w:numFmt w:val="bullet"/>
      <w:lvlText w:val=""/>
      <w:lvlJc w:val="start"/>
      <w:pPr>
        <w:ind w:start="122.20pt" w:hanging="18pt"/>
      </w:pPr>
      <w:rPr>
        <w:rFonts w:ascii="Wingdings" w:hAnsi="Wingdings" w:hint="default"/>
      </w:rPr>
    </w:lvl>
    <w:lvl w:ilvl="3" w:tplc="40090001" w:tentative="1">
      <w:start w:val="1"/>
      <w:numFmt w:val="bullet"/>
      <w:lvlText w:val=""/>
      <w:lvlJc w:val="start"/>
      <w:pPr>
        <w:ind w:start="158.20pt" w:hanging="18pt"/>
      </w:pPr>
      <w:rPr>
        <w:rFonts w:ascii="Symbol" w:hAnsi="Symbol" w:hint="default"/>
      </w:rPr>
    </w:lvl>
    <w:lvl w:ilvl="4" w:tplc="40090003" w:tentative="1">
      <w:start w:val="1"/>
      <w:numFmt w:val="bullet"/>
      <w:lvlText w:val="o"/>
      <w:lvlJc w:val="start"/>
      <w:pPr>
        <w:ind w:start="194.20pt" w:hanging="18pt"/>
      </w:pPr>
      <w:rPr>
        <w:rFonts w:ascii="Courier New" w:hAnsi="Courier New" w:cs="Courier New" w:hint="default"/>
      </w:rPr>
    </w:lvl>
    <w:lvl w:ilvl="5" w:tplc="40090005" w:tentative="1">
      <w:start w:val="1"/>
      <w:numFmt w:val="bullet"/>
      <w:lvlText w:val=""/>
      <w:lvlJc w:val="start"/>
      <w:pPr>
        <w:ind w:start="230.20pt" w:hanging="18pt"/>
      </w:pPr>
      <w:rPr>
        <w:rFonts w:ascii="Wingdings" w:hAnsi="Wingdings" w:hint="default"/>
      </w:rPr>
    </w:lvl>
    <w:lvl w:ilvl="6" w:tplc="40090001" w:tentative="1">
      <w:start w:val="1"/>
      <w:numFmt w:val="bullet"/>
      <w:lvlText w:val=""/>
      <w:lvlJc w:val="start"/>
      <w:pPr>
        <w:ind w:start="266.20pt" w:hanging="18pt"/>
      </w:pPr>
      <w:rPr>
        <w:rFonts w:ascii="Symbol" w:hAnsi="Symbol" w:hint="default"/>
      </w:rPr>
    </w:lvl>
    <w:lvl w:ilvl="7" w:tplc="40090003" w:tentative="1">
      <w:start w:val="1"/>
      <w:numFmt w:val="bullet"/>
      <w:lvlText w:val="o"/>
      <w:lvlJc w:val="start"/>
      <w:pPr>
        <w:ind w:start="302.20pt" w:hanging="18pt"/>
      </w:pPr>
      <w:rPr>
        <w:rFonts w:ascii="Courier New" w:hAnsi="Courier New" w:cs="Courier New" w:hint="default"/>
      </w:rPr>
    </w:lvl>
    <w:lvl w:ilvl="8" w:tplc="40090005" w:tentative="1">
      <w:start w:val="1"/>
      <w:numFmt w:val="bullet"/>
      <w:lvlText w:val=""/>
      <w:lvlJc w:val="start"/>
      <w:pPr>
        <w:ind w:start="338.20pt" w:hanging="18pt"/>
      </w:pPr>
      <w:rPr>
        <w:rFonts w:ascii="Wingdings" w:hAnsi="Wingdings" w:hint="default"/>
      </w:rPr>
    </w:lvl>
  </w:abstractNum>
  <w:abstractNum w:abstractNumId="2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6C9138C3"/>
    <w:multiLevelType w:val="hybridMultilevel"/>
    <w:tmpl w:val="B498CD0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1" w15:restartNumberingAfterBreak="0">
    <w:nsid w:val="6EDA72E9"/>
    <w:multiLevelType w:val="hybridMultilevel"/>
    <w:tmpl w:val="318A02A8"/>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32" w15:restartNumberingAfterBreak="0">
    <w:nsid w:val="74815C38"/>
    <w:multiLevelType w:val="hybridMultilevel"/>
    <w:tmpl w:val="4CB06E76"/>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num w:numId="1" w16cid:durableId="1369909383">
    <w:abstractNumId w:val="18"/>
  </w:num>
  <w:num w:numId="2" w16cid:durableId="568543031">
    <w:abstractNumId w:val="28"/>
  </w:num>
  <w:num w:numId="3" w16cid:durableId="1207790780">
    <w:abstractNumId w:val="15"/>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2"/>
  </w:num>
  <w:num w:numId="9" w16cid:durableId="231694775">
    <w:abstractNumId w:val="30"/>
  </w:num>
  <w:num w:numId="10" w16cid:durableId="2126189682">
    <w:abstractNumId w:val="19"/>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1"/>
  </w:num>
  <w:num w:numId="25" w16cid:durableId="1396658496">
    <w:abstractNumId w:val="25"/>
  </w:num>
  <w:num w:numId="26" w16cid:durableId="591358137">
    <w:abstractNumId w:val="24"/>
  </w:num>
  <w:num w:numId="27" w16cid:durableId="1187866005">
    <w:abstractNumId w:val="23"/>
  </w:num>
  <w:num w:numId="28" w16cid:durableId="1228876925">
    <w:abstractNumId w:val="26"/>
  </w:num>
  <w:num w:numId="29" w16cid:durableId="536165862">
    <w:abstractNumId w:val="31"/>
  </w:num>
  <w:num w:numId="30" w16cid:durableId="1662998284">
    <w:abstractNumId w:val="17"/>
  </w:num>
  <w:num w:numId="31" w16cid:durableId="358358250">
    <w:abstractNumId w:val="32"/>
  </w:num>
  <w:num w:numId="32" w16cid:durableId="1309437137">
    <w:abstractNumId w:val="29"/>
  </w:num>
  <w:num w:numId="33" w16cid:durableId="1006251566">
    <w:abstractNumId w:val="27"/>
  </w:num>
  <w:num w:numId="34" w16cid:durableId="1516533285">
    <w:abstractNumId w:val="16"/>
  </w:num>
  <w:num w:numId="35" w16cid:durableId="539172238">
    <w:abstractNumId w:val="11"/>
  </w:num>
  <w:num w:numId="36" w16cid:durableId="936864284">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57A"/>
    <w:rsid w:val="0004781E"/>
    <w:rsid w:val="0008758A"/>
    <w:rsid w:val="000C1E68"/>
    <w:rsid w:val="00152E6E"/>
    <w:rsid w:val="001A2EFD"/>
    <w:rsid w:val="001A3B3D"/>
    <w:rsid w:val="001B67DC"/>
    <w:rsid w:val="00214B61"/>
    <w:rsid w:val="002254A9"/>
    <w:rsid w:val="00233D97"/>
    <w:rsid w:val="002347A2"/>
    <w:rsid w:val="002414A5"/>
    <w:rsid w:val="00284D4F"/>
    <w:rsid w:val="002850E3"/>
    <w:rsid w:val="002A3C81"/>
    <w:rsid w:val="002C5DF4"/>
    <w:rsid w:val="0034389E"/>
    <w:rsid w:val="00354FCF"/>
    <w:rsid w:val="0038445E"/>
    <w:rsid w:val="00393927"/>
    <w:rsid w:val="003A19E2"/>
    <w:rsid w:val="003B2B40"/>
    <w:rsid w:val="003B4E04"/>
    <w:rsid w:val="003F5A08"/>
    <w:rsid w:val="00420716"/>
    <w:rsid w:val="004325FB"/>
    <w:rsid w:val="004432BA"/>
    <w:rsid w:val="0044407E"/>
    <w:rsid w:val="00447BB9"/>
    <w:rsid w:val="0046031D"/>
    <w:rsid w:val="00473AC9"/>
    <w:rsid w:val="004D72B5"/>
    <w:rsid w:val="00551B7F"/>
    <w:rsid w:val="00554BB2"/>
    <w:rsid w:val="0056610F"/>
    <w:rsid w:val="00575BCA"/>
    <w:rsid w:val="005B0344"/>
    <w:rsid w:val="005B520E"/>
    <w:rsid w:val="005D62FD"/>
    <w:rsid w:val="005E2800"/>
    <w:rsid w:val="00605825"/>
    <w:rsid w:val="00645D22"/>
    <w:rsid w:val="00651A08"/>
    <w:rsid w:val="00654204"/>
    <w:rsid w:val="00670434"/>
    <w:rsid w:val="006A5D82"/>
    <w:rsid w:val="006B6B66"/>
    <w:rsid w:val="006F6D3D"/>
    <w:rsid w:val="00715BEA"/>
    <w:rsid w:val="00740EEA"/>
    <w:rsid w:val="007664A6"/>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A39D6"/>
    <w:rsid w:val="009F1D79"/>
    <w:rsid w:val="009F50CE"/>
    <w:rsid w:val="00A059B3"/>
    <w:rsid w:val="00A6565D"/>
    <w:rsid w:val="00AE3409"/>
    <w:rsid w:val="00B11A60"/>
    <w:rsid w:val="00B22613"/>
    <w:rsid w:val="00B35B5A"/>
    <w:rsid w:val="00B44A76"/>
    <w:rsid w:val="00B768D1"/>
    <w:rsid w:val="00BA1025"/>
    <w:rsid w:val="00BB1329"/>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82173"/>
    <w:rsid w:val="00E07383"/>
    <w:rsid w:val="00E165BC"/>
    <w:rsid w:val="00E61E12"/>
    <w:rsid w:val="00E7596C"/>
    <w:rsid w:val="00E878F2"/>
    <w:rsid w:val="00ED0149"/>
    <w:rsid w:val="00EF7DE3"/>
    <w:rsid w:val="00F02772"/>
    <w:rsid w:val="00F03103"/>
    <w:rsid w:val="00F271DE"/>
    <w:rsid w:val="00F50A5E"/>
    <w:rsid w:val="00F627DA"/>
    <w:rsid w:val="00F7288F"/>
    <w:rsid w:val="00F847A6"/>
    <w:rsid w:val="00F9441B"/>
    <w:rsid w:val="00FA4275"/>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21FFA7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tabs>
        <w:tab w:val="clear" w:pos="32.20pt"/>
        <w:tab w:val="num" w:pos="27pt"/>
      </w:tabs>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2414A5"/>
    <w:rPr>
      <w:i/>
      <w:iCs/>
      <w:noProof/>
    </w:rPr>
  </w:style>
  <w:style w:type="character" w:customStyle="1" w:styleId="Heading1Char">
    <w:name w:val="Heading 1 Char"/>
    <w:basedOn w:val="DefaultParagraphFont"/>
    <w:link w:val="Heading1"/>
    <w:rsid w:val="00554BB2"/>
    <w:rPr>
      <w:smallCaps/>
      <w:noProof/>
    </w:rPr>
  </w:style>
  <w:style w:type="character" w:styleId="PlaceholderText">
    <w:name w:val="Placeholder Text"/>
    <w:basedOn w:val="DefaultParagraphFont"/>
    <w:uiPriority w:val="99"/>
    <w:semiHidden/>
    <w:rsid w:val="005D62FD"/>
    <w:rPr>
      <w:color w:val="666666"/>
    </w:rPr>
  </w:style>
  <w:style w:type="character" w:customStyle="1" w:styleId="Heading4Char">
    <w:name w:val="Heading 4 Char"/>
    <w:basedOn w:val="DefaultParagraphFont"/>
    <w:link w:val="Heading4"/>
    <w:rsid w:val="00B35B5A"/>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135</TotalTime>
  <Pages>7</Pages>
  <Words>4799</Words>
  <Characters>27356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Chintan Meena</cp:lastModifiedBy>
  <cp:revision>8</cp:revision>
  <dcterms:created xsi:type="dcterms:W3CDTF">2024-07-16T13:42:00Z</dcterms:created>
  <dcterms:modified xsi:type="dcterms:W3CDTF">2026-08-24T09:14:00Z</dcterms:modified>
</cp:coreProperties>
</file>