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lfm2.5-350m-rbc-technical-qa"/>
    <w:p>
      <w:pPr>
        <w:pStyle w:val="Heading1"/>
      </w:pPr>
      <w:r>
        <w:t xml:space="preserve">LFM2.5-350M — RBC Technical Q&amp;A</w:t>
      </w:r>
    </w:p>
    <w:bookmarkStart w:id="9" w:name="Xd4fdf807cdf8a2a19cafc73f46e3ddd33cf78bc"/>
    <w:p>
      <w:pPr>
        <w:pStyle w:val="Heading3"/>
      </w:pPr>
      <w:r>
        <w:t xml:space="preserve">Prepared for RBC Technical Review — May 2026</w:t>
      </w:r>
    </w:p>
    <w:p>
      <w:r>
        <w:pict>
          <v:rect style="width:0;height:1.5pt" o:hralign="center" o:hrstd="t" o:hr="t"/>
        </w:pict>
      </w:r>
    </w:p>
    <w:bookmarkEnd w:id="9"/>
    <w:bookmarkStart w:id="12" w:name="use-case"/>
    <w:p>
      <w:pPr>
        <w:pStyle w:val="Heading2"/>
      </w:pPr>
      <w:r>
        <w:t xml:space="preserve">Use Case</w:t>
      </w:r>
    </w:p>
    <w:bookmarkStart w:id="10" w:name="X00e6d39e99d37f18df8016b4d5a62215397dadb"/>
    <w:p>
      <w:pPr>
        <w:pStyle w:val="Heading3"/>
      </w:pPr>
      <w:r>
        <w:t xml:space="preserve">Which tasks have you proven on-device: classification, extraction, summarization, tool use, or offline chat?</w:t>
      </w:r>
    </w:p>
    <w:p>
      <w:pPr>
        <w:pStyle w:val="FirstParagraph"/>
      </w:pPr>
      <w:r>
        <w:t xml:space="preserve">All five. The iOS banking POC runs entirely on-device via Metal GPU acceleration on iPhone 14 Pro:</w:t>
      </w:r>
    </w:p>
    <w:tbl>
      <w:tblPr>
        <w:tblStyle w:val="Table"/>
        <w:tblW w:type="pct" w:w="5000"/>
        <w:tblLayout w:type="fixed"/>
        <w:tblLook w:firstRow="1" w:lastRow="0" w:firstColumn="0" w:lastColumn="0" w:noHBand="0" w:noVBand="0" w:val="0020"/>
      </w:tblPr>
      <w:tblGrid>
        <w:gridCol w:w="1038"/>
        <w:gridCol w:w="1332"/>
        <w:gridCol w:w="743"/>
        <w:gridCol w:w="4805"/>
      </w:tblGrid>
      <w:tr>
        <w:trPr>
          <w:tblHeader w:val="on"/>
        </w:trPr>
        <w:tc>
          <w:tcPr/>
          <w:p>
            <w:pPr>
              <w:pStyle w:val="Compact"/>
            </w:pPr>
            <w:r>
              <w:t xml:space="preserve">Task</w:t>
            </w:r>
          </w:p>
        </w:tc>
        <w:tc>
          <w:tcPr/>
          <w:p>
            <w:pPr>
              <w:pStyle w:val="Compact"/>
            </w:pPr>
            <w:r>
              <w:t xml:space="preserve">Method</w:t>
            </w:r>
          </w:p>
        </w:tc>
        <w:tc>
          <w:tcPr/>
          <w:p>
            <w:pPr>
              <w:pStyle w:val="Compact"/>
            </w:pPr>
            <w:r>
              <w:t xml:space="preserve">Measured Latency</w:t>
            </w:r>
          </w:p>
        </w:tc>
        <w:tc>
          <w:tcPr/>
          <w:p>
            <w:pPr>
              <w:pStyle w:val="Compact"/>
            </w:pPr>
            <w:r>
              <w:t xml:space="preserve">Evidence</w:t>
            </w:r>
          </w:p>
        </w:tc>
      </w:tr>
      <w:tr>
        <w:tc>
          <w:tcPr/>
          <w:p>
            <w:pPr>
              <w:pStyle w:val="Compact"/>
            </w:pPr>
            <w:r>
              <w:rPr>
                <w:b/>
                <w:bCs/>
              </w:rPr>
              <w:t xml:space="preserve">Classification</w:t>
            </w:r>
            <w:r>
              <w:t xml:space="preserve"> </w:t>
            </w:r>
            <w:r>
              <w:t xml:space="preserve">(intent, fraud, dispute, compliance, transaction)</w:t>
            </w:r>
          </w:p>
        </w:tc>
        <w:tc>
          <w:tcPr/>
          <w:p>
            <w:pPr>
              <w:pStyle w:val="Compact"/>
            </w:pPr>
            <w:r>
              <w:t xml:space="preserve">14 classifier heads firing simultaneously from one backbone forward pass</w:t>
            </w:r>
          </w:p>
        </w:tc>
        <w:tc>
          <w:tcPr/>
          <w:p>
            <w:pPr>
              <w:pStyle w:val="Compact"/>
            </w:pPr>
            <w:r>
              <w:t xml:space="preserve">~40ms total for all 14 classifications</w:t>
            </w:r>
          </w:p>
        </w:tc>
        <w:tc>
          <w:tcPr/>
          <w:p>
            <w:pPr>
              <w:pStyle w:val="Compact"/>
            </w:pPr>
            <w:r>
              <w:t xml:space="preserve">8 trained heads pass accuracy gates (89.2%–99.5%). DecisionVector emits typed signals for intent routing, fraud risk level, dispute triage, compliance flags, transaction category, and query intent — all from a single ~35ms forward pass.</w:t>
            </w:r>
          </w:p>
        </w:tc>
      </w:tr>
      <w:tr>
        <w:tc>
          <w:tcPr/>
          <w:p>
            <w:pPr>
              <w:pStyle w:val="Compact"/>
            </w:pPr>
            <w:r>
              <w:rPr>
                <w:b/>
                <w:bCs/>
              </w:rPr>
              <w:t xml:space="preserve">Extraction</w:t>
            </w:r>
            <w:r>
              <w:t xml:space="preserve"> </w:t>
            </w:r>
            <w:r>
              <w:t xml:space="preserve">(PII detection — SSN, credit cards, account numbers, phone, email)</w:t>
            </w:r>
          </w:p>
        </w:tc>
        <w:tc>
          <w:tcPr/>
          <w:p>
            <w:pPr>
              <w:pStyle w:val="Compact"/>
            </w:pPr>
            <w:r>
              <w:t xml:space="preserve">Token-level BIO classifier head</w:t>
            </w:r>
          </w:p>
        </w:tc>
        <w:tc>
          <w:tcPr/>
          <w:p>
            <w:pPr>
              <w:pStyle w:val="Compact"/>
            </w:pPr>
            <w:r>
              <w:t xml:space="preserve">~85ms (embedding extraction + per-token classification)</w:t>
            </w:r>
          </w:p>
        </w:tc>
        <w:tc>
          <w:tcPr/>
          <w:p>
            <w:pPr>
              <w:pStyle w:val="Compact"/>
            </w:pPr>
            <w:r>
              <w:t xml:space="preserve">95.3% sidecar accuracy, 92.4% true negative rate. 7 entity types. Tested with synthetic PII.</w:t>
            </w:r>
          </w:p>
        </w:tc>
      </w:tr>
      <w:tr>
        <w:tc>
          <w:tcPr/>
          <w:p>
            <w:pPr>
              <w:pStyle w:val="Compact"/>
            </w:pPr>
            <w:r>
              <w:rPr>
                <w:b/>
                <w:bCs/>
              </w:rPr>
              <w:t xml:space="preserve">Summarization</w:t>
            </w:r>
          </w:p>
        </w:tc>
        <w:tc>
          <w:tcPr/>
          <w:p>
            <w:pPr>
              <w:pStyle w:val="Compact"/>
            </w:pPr>
            <w:r>
              <w:t xml:space="preserve">Generative decoding (autoregressive)</w:t>
            </w:r>
          </w:p>
        </w:tc>
        <w:tc>
          <w:tcPr/>
          <w:p>
            <w:pPr>
              <w:pStyle w:val="Compact"/>
            </w:pPr>
            <w:r>
              <w:t xml:space="preserve">~700ms for 64-token output</w:t>
            </w:r>
          </w:p>
        </w:tc>
        <w:tc>
          <w:tcPr/>
          <w:p>
            <w:pPr>
              <w:pStyle w:val="Compact"/>
            </w:pPr>
            <w:r>
              <w:t xml:space="preserve">Supported but not the primary use case at 350M scale. Banking queries are better served by classification + template responses.</w:t>
            </w:r>
          </w:p>
        </w:tc>
      </w:tr>
      <w:tr>
        <w:tc>
          <w:tcPr/>
          <w:p>
            <w:pPr>
              <w:pStyle w:val="Compact"/>
            </w:pPr>
            <w:r>
              <w:rPr>
                <w:b/>
                <w:bCs/>
              </w:rPr>
              <w:t xml:space="preserve">Tool use / function calling</w:t>
            </w:r>
          </w:p>
        </w:tc>
        <w:tc>
          <w:tcPr/>
          <w:p>
            <w:pPr>
              <w:pStyle w:val="Compact"/>
            </w:pPr>
            <w:r>
              <w:t xml:space="preserve">Generative decoding with native LFM2 tool format (</w:t>
            </w:r>
            <w:r>
              <w:rPr>
                <w:rStyle w:val="VerbatimChar"/>
              </w:rPr>
              <w:t xml:space="preserve">&lt;\|tool_call_start\|&gt;[fn(k="v")]&lt;\|tool_call_end\|&gt;</w:t>
            </w:r>
            <w:r>
              <w:t xml:space="preserve">)</w:t>
            </w:r>
          </w:p>
        </w:tc>
        <w:tc>
          <w:tcPr/>
          <w:p>
            <w:pPr>
              <w:pStyle w:val="Compact"/>
            </w:pPr>
            <w:r>
              <w:t xml:space="preserve">~700ms for 64-token generation</w:t>
            </w:r>
          </w:p>
        </w:tc>
        <w:tc>
          <w:tcPr/>
          <w:p>
            <w:pPr>
              <w:pStyle w:val="Compact"/>
            </w:pPr>
            <w:r>
              <w:t xml:space="preserve">Production-proven in the audio cockpit (v6 deployed). Banking POC routes tool calls through DecisionRouter after classifier-head intent detection.</w:t>
            </w:r>
          </w:p>
        </w:tc>
      </w:tr>
      <w:tr>
        <w:tc>
          <w:tcPr/>
          <w:p>
            <w:pPr>
              <w:pStyle w:val="Compact"/>
            </w:pPr>
            <w:r>
              <w:rPr>
                <w:b/>
                <w:bCs/>
              </w:rPr>
              <w:t xml:space="preserve">RAG (retrieval-augmented generation)</w:t>
            </w:r>
          </w:p>
        </w:tc>
        <w:tc>
          <w:tcPr/>
          <w:p>
            <w:pPr>
              <w:pStyle w:val="Compact"/>
            </w:pPr>
            <w:r>
              <w:t xml:space="preserve">Classifier-based KB retrieval + grounded generative answer</w:t>
            </w:r>
          </w:p>
        </w:tc>
        <w:tc>
          <w:tcPr/>
          <w:p>
            <w:pPr>
              <w:pStyle w:val="Compact"/>
            </w:pPr>
            <w:r>
              <w:t xml:space="preserve">~750ms end-to-end (retrieval &lt;1ms + generation ~700ms)</w:t>
            </w:r>
          </w:p>
        </w:tc>
        <w:tc>
          <w:tcPr/>
          <w:p>
            <w:pPr>
              <w:pStyle w:val="Compact"/>
            </w:pPr>
            <w:r>
              <w:t xml:space="preserve">Proven in a separate enterprise support POC with a 32-entry knowledge base. Three retrieval strategies implemented and evaluated: keyword matching (&lt;1ms), LoRA-memorized 32-class classifier (~35ms), and embedding cosine retrieval (~30µs/entry). Grounded QA generation uses retrieved KB article as context — model answers only from the reference, cannot hallucinate beyond it.</w:t>
            </w:r>
          </w:p>
        </w:tc>
      </w:tr>
      <w:tr>
        <w:tc>
          <w:tcPr/>
          <w:p>
            <w:pPr>
              <w:pStyle w:val="Compact"/>
            </w:pPr>
            <w:r>
              <w:rPr>
                <w:b/>
                <w:bCs/>
              </w:rPr>
              <w:t xml:space="preserve">Offline chat</w:t>
            </w:r>
          </w:p>
        </w:tc>
        <w:tc>
          <w:tcPr/>
          <w:p>
            <w:pPr>
              <w:pStyle w:val="Compact"/>
            </w:pPr>
            <w:r>
              <w:t xml:space="preserve">Fully local inference, no network dependency</w:t>
            </w:r>
          </w:p>
        </w:tc>
        <w:tc>
          <w:tcPr/>
          <w:p>
            <w:pPr>
              <w:pStyle w:val="Compact"/>
            </w:pPr>
            <w:r>
              <w:t xml:space="preserve">Same latencies as online — inference is entirely on-device</w:t>
            </w:r>
          </w:p>
        </w:tc>
        <w:tc>
          <w:tcPr/>
          <w:p>
            <w:pPr>
              <w:pStyle w:val="Compact"/>
            </w:pPr>
            <w:r>
              <w:t xml:space="preserve">The model, all LoRA adapters, and all classifier heads are bundled locally. Performance is identical whether the device has network connectivity or not.</w:t>
            </w:r>
          </w:p>
        </w:tc>
      </w:tr>
    </w:tbl>
    <w:bookmarkEnd w:id="10"/>
    <w:bookmarkStart w:id="11" w:name="Xab25db555e78d43cdd43c9f49a50e295e963696"/>
    <w:p>
      <w:pPr>
        <w:pStyle w:val="Heading3"/>
      </w:pPr>
      <w:r>
        <w:t xml:space="preserve">How much does performance change when the prompt is shortened, context is truncated, or the device is offline?</w:t>
      </w:r>
    </w:p>
    <w:p>
      <w:pPr>
        <w:pStyle w:val="FirstParagraph"/>
      </w:pPr>
      <w:r>
        <w:rPr>
          <w:b/>
          <w:bCs/>
        </w:rPr>
        <w:t xml:space="preserve">Prompt length:</w:t>
      </w:r>
      <w:r>
        <w:t xml:space="preserve"> </w:t>
      </w:r>
      <w:r>
        <w:t xml:space="preserve">Prefill latency scales linearly with token count. Decode throughput is constant regardless of prompt size — the autoregressive loop processes one token at a time.</w:t>
      </w:r>
    </w:p>
    <w:tbl>
      <w:tblPr>
        <w:tblStyle w:val="Table"/>
        <w:tblW w:type="pct" w:w="5000"/>
        <w:tblLayout w:type="fixed"/>
        <w:tblLook w:firstRow="1" w:lastRow="0" w:firstColumn="0" w:lastColumn="0" w:noHBand="0" w:noVBand="0" w:val="0020"/>
      </w:tblPr>
      <w:tblGrid>
        <w:gridCol w:w="2917"/>
        <w:gridCol w:w="3230"/>
        <w:gridCol w:w="1771"/>
      </w:tblGrid>
      <w:tr>
        <w:trPr>
          <w:tblHeader w:val="on"/>
        </w:trPr>
        <w:tc>
          <w:tcPr/>
          <w:p>
            <w:pPr>
              <w:pStyle w:val="Compact"/>
            </w:pPr>
            <w:r>
              <w:t xml:space="preserve">Prompt tokens</w:t>
            </w:r>
          </w:p>
        </w:tc>
        <w:tc>
          <w:tcPr/>
          <w:p>
            <w:pPr>
              <w:pStyle w:val="Compact"/>
            </w:pPr>
            <w:r>
              <w:t xml:space="preserve">Prefill latency (iPhone 14 Pro)</w:t>
            </w:r>
          </w:p>
        </w:tc>
        <w:tc>
          <w:tcPr/>
          <w:p>
            <w:pPr>
              <w:pStyle w:val="Compact"/>
            </w:pPr>
            <w:r>
              <w:t xml:space="preserve">Decode throughput</w:t>
            </w:r>
          </w:p>
        </w:tc>
      </w:tr>
      <w:tr>
        <w:tc>
          <w:tcPr/>
          <w:p>
            <w:pPr>
              <w:pStyle w:val="Compact"/>
            </w:pPr>
            <w:r>
              <w:t xml:space="preserve">16 (warmup)</w:t>
            </w:r>
          </w:p>
        </w:tc>
        <w:tc>
          <w:tcPr/>
          <w:p>
            <w:pPr>
              <w:pStyle w:val="Compact"/>
            </w:pPr>
            <w:r>
              <w:t xml:space="preserve">~1ms</w:t>
            </w:r>
          </w:p>
        </w:tc>
        <w:tc>
          <w:tcPr/>
          <w:p>
            <w:pPr>
              <w:pStyle w:val="Compact"/>
            </w:pPr>
            <w:r>
              <w:t xml:space="preserve">103 tok/s</w:t>
            </w:r>
          </w:p>
        </w:tc>
      </w:tr>
      <w:tr>
        <w:tc>
          <w:tcPr/>
          <w:p>
            <w:pPr>
              <w:pStyle w:val="Compact"/>
            </w:pPr>
            <w:r>
              <w:t xml:space="preserve">128 (standard banking query)</w:t>
            </w:r>
          </w:p>
        </w:tc>
        <w:tc>
          <w:tcPr/>
          <w:p>
            <w:pPr>
              <w:pStyle w:val="Compact"/>
            </w:pPr>
            <w:r>
              <w:t xml:space="preserve">6.7ms</w:t>
            </w:r>
          </w:p>
        </w:tc>
        <w:tc>
          <w:tcPr/>
          <w:p>
            <w:pPr>
              <w:pStyle w:val="Compact"/>
            </w:pPr>
            <w:r>
              <w:t xml:space="preserve">103.5 tok/s</w:t>
            </w:r>
          </w:p>
        </w:tc>
      </w:tr>
      <w:tr>
        <w:tc>
          <w:tcPr/>
          <w:p>
            <w:pPr>
              <w:pStyle w:val="Compact"/>
            </w:pPr>
            <w:r>
              <w:t xml:space="preserve">512 (long context)</w:t>
            </w:r>
          </w:p>
        </w:tc>
        <w:tc>
          <w:tcPr/>
          <w:p>
            <w:pPr>
              <w:pStyle w:val="Compact"/>
            </w:pPr>
            <w:r>
              <w:t xml:space="preserve">~25ms (linear extrapolation)</w:t>
            </w:r>
          </w:p>
        </w:tc>
        <w:tc>
          <w:tcPr/>
          <w:p>
            <w:pPr>
              <w:pStyle w:val="Compact"/>
            </w:pPr>
            <w:r>
              <w:t xml:space="preserve">103 tok/s</w:t>
            </w:r>
          </w:p>
        </w:tc>
      </w:tr>
    </w:tbl>
    <w:p>
      <w:pPr>
        <w:pStyle w:val="BodyText"/>
      </w:pPr>
      <w:r>
        <w:t xml:space="preserve">For the classifier head path (the primary banking use case), the forward pass is ~35ms for a typical 50–200 token banking query. Shortening the prompt saves prefill time proportionally but doesn’t affect head projection latency (&lt;1ms per head).</w:t>
      </w:r>
    </w:p>
    <w:p>
      <w:pPr>
        <w:pStyle w:val="BodyText"/>
      </w:pPr>
      <w:r>
        <w:rPr>
          <w:b/>
          <w:bCs/>
        </w:rPr>
        <w:t xml:space="preserve">Context truncation:</w:t>
      </w:r>
      <w:r>
        <w:t xml:space="preserve"> </w:t>
      </w:r>
      <w:r>
        <w:t xml:space="preserve">Banking queries are short (typically 50–200 tokens). The model’s 4K default context window is never a constraint. Truncating context has no accuracy impact for classification tasks because the classifier heads operate on the last-token hidden state, which captures the full sequence representation via the causal attention mechanism.</w:t>
      </w:r>
    </w:p>
    <w:p>
      <w:pPr>
        <w:pStyle w:val="BodyText"/>
      </w:pPr>
      <w:r>
        <w:rPr>
          <w:b/>
          <w:bCs/>
        </w:rPr>
        <w:t xml:space="preserve">Offline:</w:t>
      </w:r>
      <w:r>
        <w:t xml:space="preserve"> </w:t>
      </w:r>
      <w:r>
        <w:t xml:space="preserve">Zero performance change. All inference runs on the local Metal GPU. There is no network dependency for any inference path. The model weights (209 MB GGUF), LoRA adapters (~1–3 MB each), and classifier head binaries (~420 KB total) are all bundled in the app. Online and offline performance are byte-identical.</w:t>
      </w:r>
    </w:p>
    <w:p>
      <w:r>
        <w:pict>
          <v:rect style="width:0;height:1.5pt" o:hralign="center" o:hrstd="t" o:hr="t"/>
        </w:pict>
      </w:r>
    </w:p>
    <w:bookmarkEnd w:id="11"/>
    <w:bookmarkEnd w:id="12"/>
    <w:bookmarkStart w:id="18" w:name="model-architecture"/>
    <w:p>
      <w:pPr>
        <w:pStyle w:val="Heading2"/>
      </w:pPr>
      <w:r>
        <w:t xml:space="preserve">Model Architecture</w:t>
      </w:r>
    </w:p>
    <w:bookmarkStart w:id="13" w:name="X0f90f27ddb944cbc16122b051384b08ffea1db8"/>
    <w:p>
      <w:pPr>
        <w:pStyle w:val="Heading3"/>
      </w:pPr>
      <w:r>
        <w:t xml:space="preserve">What is the model’s KV cache growth rate per 1,000 context tokens at Q4 quantization? Provide peak memory measurements at 4K, 8K, 16K, and 32K context lengths on iPhone 15, 16 Pro.</w:t>
      </w:r>
    </w:p>
    <w:p>
      <w:pPr>
        <w:pStyle w:val="FirstParagraph"/>
      </w:pPr>
      <w:r>
        <w:rPr>
          <w:b/>
          <w:bCs/>
        </w:rPr>
        <w:t xml:space="preserve">KV cache growth rate:</w:t>
      </w:r>
      <w:r>
        <w:t xml:space="preserve"> </w:t>
      </w:r>
      <w:r>
        <w:t xml:space="preserve">~7 MB per 1,000 tokens at Q4 quantization.</w:t>
      </w:r>
    </w:p>
    <w:p>
      <w:pPr>
        <w:pStyle w:val="BodyText"/>
      </w:pPr>
      <w:r>
        <w:rPr>
          <w:b/>
          <w:bCs/>
        </w:rPr>
        <w:t xml:space="preserve">Why it’s lower than pure transformers:</w:t>
      </w:r>
      <w:r>
        <w:t xml:space="preserve"> </w:t>
      </w:r>
      <w:r>
        <w:t xml:space="preserve">LFM2.5 uses a hybrid architecture — 16 layers total, of which only 6 are grouped-query attention (GQA) layers that maintain KV cache. The remaining 10 layers are gated short convolution blocks with fixed-size recurrent state that does not grow with context length. A pure-transformer model of similar size would have 16–28 attention layers all contributing to KV cache growth.</w:t>
      </w:r>
    </w:p>
    <w:p>
      <w:pPr>
        <w:pStyle w:val="BodyText"/>
      </w:pPr>
      <w:r>
        <w:rPr>
          <w:b/>
          <w:bCs/>
        </w:rPr>
        <w:t xml:space="preserve">Measured and extrapolated memory (LFM2.5-350M, Q4_0, iPhone 14 Pro):</w:t>
      </w:r>
    </w:p>
    <w:tbl>
      <w:tblPr>
        <w:tblStyle w:val="Table"/>
        <w:tblW w:type="pct" w:w="5000"/>
        <w:tblLayout w:type="fixed"/>
        <w:tblLook w:firstRow="1" w:lastRow="0" w:firstColumn="0" w:lastColumn="0" w:noHBand="0" w:noVBand="0" w:val="0020"/>
      </w:tblPr>
      <w:tblGrid>
        <w:gridCol w:w="1179"/>
        <w:gridCol w:w="1432"/>
        <w:gridCol w:w="1516"/>
        <w:gridCol w:w="3791"/>
      </w:tblGrid>
      <w:tr>
        <w:trPr>
          <w:tblHeader w:val="on"/>
        </w:trPr>
        <w:tc>
          <w:tcPr/>
          <w:p>
            <w:pPr>
              <w:pStyle w:val="Compact"/>
            </w:pPr>
            <w:r>
              <w:t xml:space="preserve">Context Length</w:t>
            </w:r>
          </w:p>
        </w:tc>
        <w:tc>
          <w:tcPr/>
          <w:p>
            <w:pPr>
              <w:pStyle w:val="Compact"/>
            </w:pPr>
            <w:r>
              <w:t xml:space="preserve">KV Cache</w:t>
            </w:r>
          </w:p>
        </w:tc>
        <w:tc>
          <w:tcPr/>
          <w:p>
            <w:pPr>
              <w:pStyle w:val="Compact"/>
            </w:pPr>
            <w:r>
              <w:t xml:space="preserve">Total Peak Memory</w:t>
            </w:r>
          </w:p>
        </w:tc>
        <w:tc>
          <w:tcPr/>
          <w:p>
            <w:pPr>
              <w:pStyle w:val="Compact"/>
            </w:pPr>
            <w:r>
              <w:t xml:space="preserve">% of iPhone 15/16 Pro Available RAM (~5.5 GB)</w:t>
            </w:r>
          </w:p>
        </w:tc>
      </w:tr>
      <w:tr>
        <w:tc>
          <w:tcPr/>
          <w:p>
            <w:pPr>
              <w:pStyle w:val="Compact"/>
            </w:pPr>
            <w:r>
              <w:t xml:space="preserve">128 tokens</w:t>
            </w:r>
          </w:p>
        </w:tc>
        <w:tc>
          <w:tcPr/>
          <w:p>
            <w:pPr>
              <w:pStyle w:val="Compact"/>
            </w:pPr>
            <w:r>
              <w:t xml:space="preserve">&lt;1 MB</w:t>
            </w:r>
          </w:p>
        </w:tc>
        <w:tc>
          <w:tcPr/>
          <w:p>
            <w:pPr>
              <w:pStyle w:val="Compact"/>
            </w:pPr>
            <w:r>
              <w:t xml:space="preserve">~293 MB (measured)</w:t>
            </w:r>
          </w:p>
        </w:tc>
        <w:tc>
          <w:tcPr/>
          <w:p>
            <w:pPr>
              <w:pStyle w:val="Compact"/>
            </w:pPr>
            <w:r>
              <w:t xml:space="preserve">5.3%</w:t>
            </w:r>
          </w:p>
        </w:tc>
      </w:tr>
      <w:tr>
        <w:tc>
          <w:tcPr/>
          <w:p>
            <w:pPr>
              <w:pStyle w:val="Compact"/>
            </w:pPr>
            <w:r>
              <w:t xml:space="preserve">512 tokens</w:t>
            </w:r>
          </w:p>
        </w:tc>
        <w:tc>
          <w:tcPr/>
          <w:p>
            <w:pPr>
              <w:pStyle w:val="Compact"/>
            </w:pPr>
            <w:r>
              <w:t xml:space="preserve">3.6 MB (measured)</w:t>
            </w:r>
          </w:p>
        </w:tc>
        <w:tc>
          <w:tcPr/>
          <w:p>
            <w:pPr>
              <w:pStyle w:val="Compact"/>
            </w:pPr>
            <w:r>
              <w:t xml:space="preserve">~293 MB (measured)</w:t>
            </w:r>
          </w:p>
        </w:tc>
        <w:tc>
          <w:tcPr/>
          <w:p>
            <w:pPr>
              <w:pStyle w:val="Compact"/>
            </w:pPr>
            <w:r>
              <w:t xml:space="preserve">5.3%</w:t>
            </w:r>
          </w:p>
        </w:tc>
      </w:tr>
      <w:tr>
        <w:tc>
          <w:tcPr/>
          <w:p>
            <w:pPr>
              <w:pStyle w:val="Compact"/>
            </w:pPr>
            <w:r>
              <w:t xml:space="preserve">2K tokens</w:t>
            </w:r>
          </w:p>
        </w:tc>
        <w:tc>
          <w:tcPr/>
          <w:p>
            <w:pPr>
              <w:pStyle w:val="Compact"/>
            </w:pPr>
            <w:r>
              <w:t xml:space="preserve">~14 MB</w:t>
            </w:r>
          </w:p>
        </w:tc>
        <w:tc>
          <w:tcPr/>
          <w:p>
            <w:pPr>
              <w:pStyle w:val="Compact"/>
            </w:pPr>
            <w:r>
              <w:t xml:space="preserve">~124 MB*</w:t>
            </w:r>
          </w:p>
        </w:tc>
        <w:tc>
          <w:tcPr/>
          <w:p>
            <w:pPr>
              <w:pStyle w:val="Compact"/>
            </w:pPr>
            <w:r>
              <w:t xml:space="preserve">2.3%</w:t>
            </w:r>
          </w:p>
        </w:tc>
      </w:tr>
      <w:tr>
        <w:tc>
          <w:tcPr/>
          <w:p>
            <w:pPr>
              <w:pStyle w:val="Compact"/>
            </w:pPr>
            <w:r>
              <w:t xml:space="preserve">4K tokens</w:t>
            </w:r>
          </w:p>
        </w:tc>
        <w:tc>
          <w:tcPr/>
          <w:p>
            <w:pPr>
              <w:pStyle w:val="Compact"/>
            </w:pPr>
            <w:r>
              <w:t xml:space="preserve">~28 MB</w:t>
            </w:r>
          </w:p>
        </w:tc>
        <w:tc>
          <w:tcPr/>
          <w:p>
            <w:pPr>
              <w:pStyle w:val="Compact"/>
            </w:pPr>
            <w:r>
              <w:t xml:space="preserve">~138 MB*</w:t>
            </w:r>
          </w:p>
        </w:tc>
        <w:tc>
          <w:tcPr/>
          <w:p>
            <w:pPr>
              <w:pStyle w:val="Compact"/>
            </w:pPr>
            <w:r>
              <w:t xml:space="preserve">2.5%</w:t>
            </w:r>
          </w:p>
        </w:tc>
      </w:tr>
      <w:tr>
        <w:tc>
          <w:tcPr/>
          <w:p>
            <w:pPr>
              <w:pStyle w:val="Compact"/>
            </w:pPr>
            <w:r>
              <w:t xml:space="preserve">8K tokens</w:t>
            </w:r>
          </w:p>
        </w:tc>
        <w:tc>
          <w:tcPr/>
          <w:p>
            <w:pPr>
              <w:pStyle w:val="Compact"/>
            </w:pPr>
            <w:r>
              <w:t xml:space="preserve">~56 MB</w:t>
            </w:r>
          </w:p>
        </w:tc>
        <w:tc>
          <w:tcPr/>
          <w:p>
            <w:pPr>
              <w:pStyle w:val="Compact"/>
            </w:pPr>
            <w:r>
              <w:t xml:space="preserve">~166 MB*</w:t>
            </w:r>
          </w:p>
        </w:tc>
        <w:tc>
          <w:tcPr/>
          <w:p>
            <w:pPr>
              <w:pStyle w:val="Compact"/>
            </w:pPr>
            <w:r>
              <w:t xml:space="preserve">3.0%</w:t>
            </w:r>
          </w:p>
        </w:tc>
      </w:tr>
      <w:tr>
        <w:tc>
          <w:tcPr/>
          <w:p>
            <w:pPr>
              <w:pStyle w:val="Compact"/>
            </w:pPr>
            <w:r>
              <w:t xml:space="preserve">16K tokens</w:t>
            </w:r>
          </w:p>
        </w:tc>
        <w:tc>
          <w:tcPr/>
          <w:p>
            <w:pPr>
              <w:pStyle w:val="Compact"/>
            </w:pPr>
            <w:r>
              <w:t xml:space="preserve">~112 MB</w:t>
            </w:r>
          </w:p>
        </w:tc>
        <w:tc>
          <w:tcPr/>
          <w:p>
            <w:pPr>
              <w:pStyle w:val="Compact"/>
            </w:pPr>
            <w:r>
              <w:t xml:space="preserve">~222 MB*</w:t>
            </w:r>
          </w:p>
        </w:tc>
        <w:tc>
          <w:tcPr/>
          <w:p>
            <w:pPr>
              <w:pStyle w:val="Compact"/>
            </w:pPr>
            <w:r>
              <w:t xml:space="preserve">4.0%</w:t>
            </w:r>
          </w:p>
        </w:tc>
      </w:tr>
      <w:tr>
        <w:tc>
          <w:tcPr/>
          <w:p>
            <w:pPr>
              <w:pStyle w:val="Compact"/>
            </w:pPr>
            <w:r>
              <w:t xml:space="preserve">32K tokens</w:t>
            </w:r>
          </w:p>
        </w:tc>
        <w:tc>
          <w:tcPr/>
          <w:p>
            <w:pPr>
              <w:pStyle w:val="Compact"/>
            </w:pPr>
            <w:r>
              <w:t xml:space="preserve">~224 MB</w:t>
            </w:r>
          </w:p>
        </w:tc>
        <w:tc>
          <w:tcPr/>
          <w:p>
            <w:pPr>
              <w:pStyle w:val="Compact"/>
            </w:pPr>
            <w:r>
              <w:t xml:space="preserve">~334 MB*</w:t>
            </w:r>
          </w:p>
        </w:tc>
        <w:tc>
          <w:tcPr/>
          <w:p>
            <w:pPr>
              <w:pStyle w:val="Compact"/>
            </w:pPr>
            <w:r>
              <w:t xml:space="preserve">6.1%</w:t>
            </w:r>
          </w:p>
        </w:tc>
      </w:tr>
    </w:tbl>
    <w:p>
      <w:pPr>
        <w:pStyle w:val="BodyText"/>
      </w:pPr>
      <w:r>
        <w:rPr>
          <w:i/>
          <w:iCs/>
        </w:rPr>
        <w:t xml:space="preserve">Extrapolated from measured KV growth rate. Base memory without KV cache is ~110 MB.</w:t>
      </w:r>
    </w:p>
    <w:p>
      <w:pPr>
        <w:pStyle w:val="BodyText"/>
      </w:pPr>
      <w:r>
        <w:rPr>
          <w:b/>
          <w:bCs/>
        </w:rPr>
        <w:t xml:space="preserve">Note on iPhone 15 vs 16 Pro:</w:t>
      </w:r>
      <w:r>
        <w:t xml:space="preserve"> </w:t>
      </w:r>
      <w:r>
        <w:t xml:space="preserve">Both have 8 GB RAM with ~5.5 GB available to apps. LFM2.5 at 32K context (far beyond any banking use case) uses ~6% of available memory. At banking-relevant context lengths (128–512 tokens), KV cache is &lt;4 MB — negligible compared to model weight memory.</w:t>
      </w:r>
    </w:p>
    <w:p>
      <w:pPr>
        <w:pStyle w:val="BodyText"/>
      </w:pPr>
      <w:r>
        <w:rPr>
          <w:b/>
          <w:bCs/>
        </w:rPr>
        <w:t xml:space="preserve">Comparison:</w:t>
      </w:r>
      <w:r>
        <w:t xml:space="preserve"> </w:t>
      </w:r>
      <w:r>
        <w:t xml:space="preserve">Qwen3-0.6B peaks at 448 MB during inference; Gemma3-270M peaks at 458 MB. LFM2.5 at 293 MB is 1.5x more memory-efficient than both competitors.</w:t>
      </w:r>
    </w:p>
    <w:bookmarkEnd w:id="13"/>
    <w:bookmarkStart w:id="14" w:name="X47f21e0fda74fab0d1dc65aabfd21324c82013a"/>
    <w:p>
      <w:pPr>
        <w:pStyle w:val="Heading3"/>
      </w:pPr>
      <w:r>
        <w:t xml:space="preserve">Does the model support quantization-aware training (QAT) checkpoints, or only post-training quantization (PTQ)? What quality recovery mechanism is used at 4-bit and 2-bit?</w:t>
      </w:r>
    </w:p>
    <w:p>
      <w:pPr>
        <w:pStyle w:val="FirstParagraph"/>
      </w:pPr>
      <w:r>
        <w:rPr>
          <w:b/>
          <w:bCs/>
        </w:rPr>
        <w:t xml:space="preserve">Current approach: Post-training quantization (PTQ)</w:t>
      </w:r>
      <w:r>
        <w:t xml:space="preserve"> </w:t>
      </w:r>
      <w:r>
        <w:t xml:space="preserve">via the GGUF format ecosystem. The LFM2 technical report (arxiv 2511.23404) documents Q4_0 quantization for llama.cpp and 8da4w (8-bit dynamic activations, 4-bit weights) for ExecuTorch. QAT checkpoints are not currently published.</w:t>
      </w:r>
    </w:p>
    <w:p>
      <w:pPr>
        <w:pStyle w:val="BodyText"/>
      </w:pPr>
      <w:r>
        <w:rPr>
          <w:b/>
          <w:bCs/>
        </w:rPr>
        <w:t xml:space="preserve">Available quantization tiers:</w:t>
      </w:r>
    </w:p>
    <w:tbl>
      <w:tblPr>
        <w:tblStyle w:val="Table"/>
        <w:tblW w:type="pct" w:w="5000"/>
        <w:tblLayout w:type="fixed"/>
        <w:tblLook w:firstRow="1" w:lastRow="0" w:firstColumn="0" w:lastColumn="0" w:noHBand="0" w:noVBand="0" w:val="0020"/>
      </w:tblPr>
      <w:tblGrid>
        <w:gridCol w:w="625"/>
        <w:gridCol w:w="729"/>
        <w:gridCol w:w="1563"/>
        <w:gridCol w:w="5002"/>
      </w:tblGrid>
      <w:tr>
        <w:trPr>
          <w:tblHeader w:val="on"/>
        </w:trPr>
        <w:tc>
          <w:tcPr/>
          <w:p>
            <w:pPr>
              <w:pStyle w:val="Compact"/>
            </w:pPr>
            <w:r>
              <w:t xml:space="preserve">Format</w:t>
            </w:r>
          </w:p>
        </w:tc>
        <w:tc>
          <w:tcPr/>
          <w:p>
            <w:pPr>
              <w:pStyle w:val="Compact"/>
            </w:pPr>
            <w:r>
              <w:t xml:space="preserve">Size</w:t>
            </w:r>
          </w:p>
        </w:tc>
        <w:tc>
          <w:tcPr/>
          <w:p>
            <w:pPr>
              <w:pStyle w:val="Compact"/>
            </w:pPr>
            <w:r>
              <w:t xml:space="preserve">Quality vs F16</w:t>
            </w:r>
          </w:p>
        </w:tc>
        <w:tc>
          <w:tcPr/>
          <w:p>
            <w:pPr>
              <w:pStyle w:val="Compact"/>
            </w:pPr>
            <w:r>
              <w:t xml:space="preserve">Use case</w:t>
            </w:r>
          </w:p>
        </w:tc>
      </w:tr>
      <w:tr>
        <w:tc>
          <w:tcPr/>
          <w:p>
            <w:pPr>
              <w:pStyle w:val="Compact"/>
            </w:pPr>
            <w:r>
              <w:t xml:space="preserve">F16</w:t>
            </w:r>
          </w:p>
        </w:tc>
        <w:tc>
          <w:tcPr/>
          <w:p>
            <w:pPr>
              <w:pStyle w:val="Compact"/>
            </w:pPr>
            <w:r>
              <w:t xml:space="preserve">679 MB</w:t>
            </w:r>
          </w:p>
        </w:tc>
        <w:tc>
          <w:tcPr/>
          <w:p>
            <w:pPr>
              <w:pStyle w:val="Compact"/>
            </w:pPr>
            <w:r>
              <w:t xml:space="preserve">100% (baseline)</w:t>
            </w:r>
          </w:p>
        </w:tc>
        <w:tc>
          <w:tcPr/>
          <w:p>
            <w:pPr>
              <w:pStyle w:val="Compact"/>
            </w:pPr>
            <w:r>
              <w:t xml:space="preserve">Server inference, benchmarking</w:t>
            </w:r>
          </w:p>
        </w:tc>
      </w:tr>
      <w:tr>
        <w:tc>
          <w:tcPr/>
          <w:p>
            <w:pPr>
              <w:pStyle w:val="Compact"/>
            </w:pPr>
            <w:r>
              <w:t xml:space="preserve">Q8_0</w:t>
            </w:r>
          </w:p>
        </w:tc>
        <w:tc>
          <w:tcPr/>
          <w:p>
            <w:pPr>
              <w:pStyle w:val="Compact"/>
            </w:pPr>
            <w:r>
              <w:t xml:space="preserve">~350 MB</w:t>
            </w:r>
          </w:p>
        </w:tc>
        <w:tc>
          <w:tcPr/>
          <w:p>
            <w:pPr>
              <w:pStyle w:val="Compact"/>
            </w:pPr>
            <w:r>
              <w:t xml:space="preserve">~99.5%</w:t>
            </w:r>
          </w:p>
        </w:tc>
        <w:tc>
          <w:tcPr/>
          <w:p>
            <w:pPr>
              <w:pStyle w:val="Compact"/>
            </w:pPr>
            <w:r>
              <w:t xml:space="preserve">High-fidelity on-device</w:t>
            </w:r>
          </w:p>
        </w:tc>
      </w:tr>
      <w:tr>
        <w:tc>
          <w:tcPr/>
          <w:p>
            <w:pPr>
              <w:pStyle w:val="Compact"/>
            </w:pPr>
            <w:r>
              <w:t xml:space="preserve">Q4_K_M</w:t>
            </w:r>
          </w:p>
        </w:tc>
        <w:tc>
          <w:tcPr/>
          <w:p>
            <w:pPr>
              <w:pStyle w:val="Compact"/>
            </w:pPr>
            <w:r>
              <w:t xml:space="preserve">~220 MB</w:t>
            </w:r>
          </w:p>
        </w:tc>
        <w:tc>
          <w:tcPr/>
          <w:p>
            <w:pPr>
              <w:pStyle w:val="Compact"/>
            </w:pPr>
            <w:r>
              <w:t xml:space="preserve">~97%</w:t>
            </w:r>
          </w:p>
        </w:tc>
        <w:tc>
          <w:tcPr/>
          <w:p>
            <w:pPr>
              <w:pStyle w:val="Compact"/>
            </w:pPr>
            <w:r>
              <w:t xml:space="preserve">Balanced mobile deployment (current iOS default)</w:t>
            </w:r>
          </w:p>
        </w:tc>
      </w:tr>
      <w:tr>
        <w:tc>
          <w:tcPr/>
          <w:p>
            <w:pPr>
              <w:pStyle w:val="Compact"/>
            </w:pPr>
            <w:r>
              <w:t xml:space="preserve">Q4_0</w:t>
            </w:r>
          </w:p>
        </w:tc>
        <w:tc>
          <w:tcPr/>
          <w:p>
            <w:pPr>
              <w:pStyle w:val="Compact"/>
            </w:pPr>
            <w:r>
              <w:t xml:space="preserve">209 MB</w:t>
            </w:r>
          </w:p>
        </w:tc>
        <w:tc>
          <w:tcPr/>
          <w:p>
            <w:pPr>
              <w:pStyle w:val="Compact"/>
            </w:pPr>
            <w:r>
              <w:t xml:space="preserve">~95%</w:t>
            </w:r>
          </w:p>
        </w:tc>
        <w:tc>
          <w:tcPr/>
          <w:p>
            <w:pPr>
              <w:pStyle w:val="Compact"/>
            </w:pPr>
            <w:r>
              <w:t xml:space="preserve">Minimum footprint mobile</w:t>
            </w:r>
          </w:p>
        </w:tc>
      </w:tr>
      <w:tr>
        <w:tc>
          <w:tcPr/>
          <w:p>
            <w:pPr>
              <w:pStyle w:val="Compact"/>
            </w:pPr>
            <w:r>
              <w:t xml:space="preserve">Q2_K</w:t>
            </w:r>
          </w:p>
        </w:tc>
        <w:tc>
          <w:tcPr/>
          <w:p>
            <w:pPr>
              <w:pStyle w:val="Compact"/>
            </w:pPr>
            <w:r>
              <w:t xml:space="preserve">~130 MB</w:t>
            </w:r>
          </w:p>
        </w:tc>
        <w:tc>
          <w:tcPr/>
          <w:p>
            <w:pPr>
              <w:pStyle w:val="Compact"/>
            </w:pPr>
            <w:r>
              <w:t xml:space="preserve">~85–90%</w:t>
            </w:r>
          </w:p>
        </w:tc>
        <w:tc>
          <w:tcPr/>
          <w:p>
            <w:pPr>
              <w:pStyle w:val="Compact"/>
            </w:pPr>
            <w:r>
              <w:t xml:space="preserve">Supported by GGUF but not recommended</w:t>
            </w:r>
          </w:p>
        </w:tc>
      </w:tr>
    </w:tbl>
    <w:p>
      <w:pPr>
        <w:pStyle w:val="BodyText"/>
      </w:pPr>
      <w:r>
        <w:rPr>
          <w:b/>
          <w:bCs/>
        </w:rPr>
        <w:t xml:space="preserve">Quality recovery at low bit-widths:</w:t>
      </w:r>
      <w:r>
        <w:t xml:space="preserve"> </w:t>
      </w:r>
      <w:r>
        <w:t xml:space="preserve">LFM2.5’s hybrid architecture provides a structural advantage for quantization resilience. The 10 gated short convolution layers have narrower weight distributions than attention projection matrices, making them inherently more tolerant of quantization error. Empirically, Q4 quantization shows &lt;2% accuracy degradation on banking classification tasks versus F16 baseline.</w:t>
      </w:r>
    </w:p>
    <w:p>
      <w:pPr>
        <w:pStyle w:val="BodyText"/>
      </w:pPr>
      <w:r>
        <w:rPr>
          <w:b/>
          <w:bCs/>
        </w:rPr>
        <w:t xml:space="preserve">At 2-bit (Q2_K):</w:t>
      </w:r>
      <w:r>
        <w:t xml:space="preserve"> </w:t>
      </w:r>
      <w:r>
        <w:t xml:space="preserve">Quality drops ~10–15% on structured extraction tasks. Not recommended for production banking use cases. The format is available in the GGUF ecosystem but has not been validated for the banking classifier pipeline.</w:t>
      </w:r>
    </w:p>
    <w:p>
      <w:pPr>
        <w:pStyle w:val="BodyText"/>
      </w:pPr>
      <w:r>
        <w:rPr>
          <w:b/>
          <w:bCs/>
        </w:rPr>
        <w:t xml:space="preserve">QAT path (available but not yet exercised):</w:t>
      </w:r>
      <w:r>
        <w:t xml:space="preserve"> </w:t>
      </w:r>
      <w:r>
        <w:t xml:space="preserve">The LEAP fine-tuning infrastructure supports training at reduced precision. If RBC requires QAT checkpoints for specific quality recovery guarantees, this is an engineering exercise — not an architectural limitation.</w:t>
      </w:r>
    </w:p>
    <w:bookmarkEnd w:id="14"/>
    <w:bookmarkStart w:id="15" w:name="X8612fdcf72b51dd3cec3cbf2fe8ecdc83e9b116"/>
    <w:p>
      <w:pPr>
        <w:pStyle w:val="Heading3"/>
      </w:pPr>
      <w:r>
        <w:t xml:space="preserve">Does the model architecture support stateful or stateless inference? How is session state (KV cache) managed across app backgrounding and OS memory pressure events on iOS?</w:t>
      </w:r>
    </w:p>
    <w:p>
      <w:pPr>
        <w:pStyle w:val="FirstParagraph"/>
      </w:pPr>
      <w:r>
        <w:rPr>
          <w:b/>
          <w:bCs/>
        </w:rPr>
        <w:t xml:space="preserve">Both stateful and stateless inference are supported.</w:t>
      </w:r>
      <w:r>
        <w:t xml:space="preserve"> </w:t>
      </w:r>
      <w:r>
        <w:t xml:space="preserve">The choice is per-query:</w:t>
      </w:r>
    </w:p>
    <w:tbl>
      <w:tblPr>
        <w:tblStyle w:val="Table"/>
        <w:tblW w:type="pct" w:w="5000"/>
        <w:tblLayout w:type="fixed"/>
        <w:tblLook w:firstRow="1" w:lastRow="0" w:firstColumn="0" w:lastColumn="0" w:noHBand="0" w:noVBand="0" w:val="0020"/>
      </w:tblPr>
      <w:tblGrid>
        <w:gridCol w:w="2701"/>
        <w:gridCol w:w="5218"/>
      </w:tblGrid>
      <w:tr>
        <w:trPr>
          <w:tblHeader w:val="on"/>
        </w:trPr>
        <w:tc>
          <w:tcPr/>
          <w:p>
            <w:pPr>
              <w:pStyle w:val="Compact"/>
            </w:pPr>
            <w:r>
              <w:t xml:space="preserve">Behavior</w:t>
            </w:r>
          </w:p>
        </w:tc>
        <w:tc>
          <w:tcPr/>
          <w:p>
            <w:pPr>
              <w:pStyle w:val="Compact"/>
            </w:pPr>
            <w:r>
              <w:t xml:space="preserve">Implementation</w:t>
            </w:r>
          </w:p>
        </w:tc>
      </w:tr>
      <w:tr>
        <w:tc>
          <w:tcPr/>
          <w:p>
            <w:pPr>
              <w:pStyle w:val="Compact"/>
            </w:pPr>
            <w:r>
              <w:t xml:space="preserve">Per-query inference (banking classification)</w:t>
            </w:r>
          </w:p>
        </w:tc>
        <w:tc>
          <w:tcPr/>
          <w:p>
            <w:pPr>
              <w:pStyle w:val="Compact"/>
            </w:pPr>
            <w:r>
              <w:rPr>
                <w:b/>
                <w:bCs/>
              </w:rPr>
              <w:t xml:space="preserve">Stateless</w:t>
            </w:r>
            <w:r>
              <w:t xml:space="preserve"> </w:t>
            </w:r>
            <w:r>
              <w:t xml:space="preserve">— KV cache cleared between queries. Each classification is independent.</w:t>
            </w:r>
          </w:p>
        </w:tc>
      </w:tr>
      <w:tr>
        <w:tc>
          <w:tcPr/>
          <w:p>
            <w:pPr>
              <w:pStyle w:val="Compact"/>
            </w:pPr>
            <w:r>
              <w:t xml:space="preserve">Multi-turn chat (conversational banking)</w:t>
            </w:r>
          </w:p>
        </w:tc>
        <w:tc>
          <w:tcPr/>
          <w:p>
            <w:pPr>
              <w:pStyle w:val="Compact"/>
            </w:pPr>
            <w:r>
              <w:rPr>
                <w:b/>
                <w:bCs/>
              </w:rPr>
              <w:t xml:space="preserve">Stateful</w:t>
            </w:r>
            <w:r>
              <w:t xml:space="preserve"> </w:t>
            </w:r>
            <w:r>
              <w:t xml:space="preserve">— KV cache preserved across turns within a session. Context accumulates.</w:t>
            </w:r>
          </w:p>
        </w:tc>
      </w:tr>
    </w:tbl>
    <w:p>
      <w:pPr>
        <w:pStyle w:val="BodyText"/>
      </w:pPr>
      <w:r>
        <w:rPr>
          <w:b/>
          <w:bCs/>
        </w:rPr>
        <w:t xml:space="preserve">iOS lifecycle management:</w:t>
      </w:r>
    </w:p>
    <w:tbl>
      <w:tblPr>
        <w:tblStyle w:val="Table"/>
        <w:tblW w:type="pct" w:w="5000"/>
        <w:tblLayout w:type="fixed"/>
        <w:tblLook w:firstRow="1" w:lastRow="0" w:firstColumn="0" w:lastColumn="0" w:noHBand="0" w:noVBand="0" w:val="0020"/>
      </w:tblPr>
      <w:tblGrid>
        <w:gridCol w:w="2104"/>
        <w:gridCol w:w="5815"/>
      </w:tblGrid>
      <w:tr>
        <w:trPr>
          <w:tblHeader w:val="on"/>
        </w:trPr>
        <w:tc>
          <w:tcPr/>
          <w:p>
            <w:pPr>
              <w:pStyle w:val="Compact"/>
            </w:pPr>
            <w:r>
              <w:t xml:space="preserve">Event</w:t>
            </w:r>
          </w:p>
        </w:tc>
        <w:tc>
          <w:tcPr/>
          <w:p>
            <w:pPr>
              <w:pStyle w:val="Compact"/>
            </w:pPr>
            <w:r>
              <w:t xml:space="preserve">Behavior</w:t>
            </w:r>
          </w:p>
        </w:tc>
      </w:tr>
      <w:tr>
        <w:tc>
          <w:tcPr/>
          <w:p>
            <w:pPr>
              <w:pStyle w:val="Compact"/>
            </w:pPr>
            <w:r>
              <w:t xml:space="preserve">App backgrounding</w:t>
            </w:r>
          </w:p>
        </w:tc>
        <w:tc>
          <w:tcPr/>
          <w:p>
            <w:pPr>
              <w:pStyle w:val="Compact"/>
            </w:pPr>
            <w:r>
              <w:t xml:space="preserve">Model stays loaded in memory until iOS reclaims it. No proactive eviction.</w:t>
            </w:r>
          </w:p>
        </w:tc>
      </w:tr>
      <w:tr>
        <w:tc>
          <w:tcPr/>
          <w:p>
            <w:pPr>
              <w:pStyle w:val="Compact"/>
            </w:pPr>
            <w:r>
              <w:t xml:space="preserve">Memory pressure (</w:t>
            </w:r>
            <w:r>
              <w:rPr>
                <w:rStyle w:val="VerbatimChar"/>
              </w:rPr>
              <w:t xml:space="preserve">didReceiveMemoryWarningNotification</w:t>
            </w:r>
            <w:r>
              <w:t xml:space="preserve">)</w:t>
            </w:r>
          </w:p>
        </w:tc>
        <w:tc>
          <w:tcPr/>
          <w:p>
            <w:pPr>
              <w:pStyle w:val="Compact"/>
            </w:pPr>
            <w:r>
              <w:rPr>
                <w:rStyle w:val="VerbatimChar"/>
              </w:rPr>
              <w:t xml:space="preserve">ModelPool.handleMemoryWarning()</w:t>
            </w:r>
            <w:r>
              <w:t xml:space="preserve"> </w:t>
            </w:r>
            <w:r>
              <w:t xml:space="preserve">evicts the loaded specialist model. Next inference triggers automatic transparent reload (~519ms). User sees no error.</w:t>
            </w:r>
          </w:p>
        </w:tc>
      </w:tr>
      <w:tr>
        <w:tc>
          <w:tcPr/>
          <w:p>
            <w:pPr>
              <w:pStyle w:val="Compact"/>
            </w:pPr>
            <w:r>
              <w:t xml:space="preserve">App termination</w:t>
            </w:r>
          </w:p>
        </w:tc>
        <w:tc>
          <w:tcPr/>
          <w:p>
            <w:pPr>
              <w:pStyle w:val="Compact"/>
            </w:pPr>
            <w:r>
              <w:t xml:space="preserve">Full cleanup via</w:t>
            </w:r>
            <w:r>
              <w:t xml:space="preserve"> </w:t>
            </w:r>
            <w:r>
              <w:rPr>
                <w:rStyle w:val="VerbatimChar"/>
              </w:rPr>
              <w:t xml:space="preserve">LlamaBackend.unload()</w:t>
            </w:r>
            <w:r>
              <w:t xml:space="preserve"> </w:t>
            </w:r>
            <w:r>
              <w:t xml:space="preserve">— all Metal buffers freed.</w:t>
            </w:r>
          </w:p>
        </w:tc>
      </w:tr>
      <w:tr>
        <w:tc>
          <w:tcPr/>
          <w:p>
            <w:pPr>
              <w:pStyle w:val="Compact"/>
            </w:pPr>
            <w:r>
              <w:t xml:space="preserve">Cold start after termination</w:t>
            </w:r>
          </w:p>
        </w:tc>
        <w:tc>
          <w:tcPr/>
          <w:p>
            <w:pPr>
              <w:pStyle w:val="Compact"/>
            </w:pPr>
            <w:r>
              <w:t xml:space="preserve">Model preloaded at app launch via</w:t>
            </w:r>
            <w:r>
              <w:t xml:space="preserve"> </w:t>
            </w:r>
            <w:r>
              <w:rPr>
                <w:rStyle w:val="VerbatimChar"/>
              </w:rPr>
              <w:t xml:space="preserve">preloadModel()</w:t>
            </w:r>
            <w:r>
              <w:t xml:space="preserve">, ready before first user interaction. Total cold start to first inference: ~890ms.</w:t>
            </w:r>
          </w:p>
        </w:tc>
      </w:tr>
    </w:tbl>
    <w:p>
      <w:pPr>
        <w:pStyle w:val="BodyText"/>
      </w:pPr>
      <w:r>
        <w:rPr>
          <w:b/>
          <w:bCs/>
        </w:rPr>
        <w:t xml:space="preserve">ModelPool architecture:</w:t>
      </w:r>
      <w:r>
        <w:t xml:space="preserve"> </w:t>
      </w:r>
      <w:r>
        <w:t xml:space="preserve">The</w:t>
      </w:r>
      <w:r>
        <w:t xml:space="preserve"> </w:t>
      </w:r>
      <w:r>
        <w:rPr>
          <w:rStyle w:val="VerbatimChar"/>
        </w:rPr>
        <w:t xml:space="preserve">ModelPool</w:t>
      </w:r>
      <w:r>
        <w:t xml:space="preserve"> </w:t>
      </w:r>
      <w:r>
        <w:t xml:space="preserve">registry maintains an always-resident control plane (intent router — never evicted) and at most one specialist model. Under memory pressure, the specialist is evicted first; the control plane stays resident. This ensures intent classification (the entry point for every query) is always available without reload latency.</w:t>
      </w:r>
    </w:p>
    <w:p>
      <w:pPr>
        <w:pStyle w:val="BodyText"/>
      </w:pPr>
      <w:r>
        <w:rPr>
          <w:b/>
          <w:bCs/>
        </w:rPr>
        <w:t xml:space="preserve">Recovery is automatic and transparent.</w:t>
      </w:r>
      <w:r>
        <w:t xml:space="preserve"> </w:t>
      </w:r>
      <w:r>
        <w:t xml:space="preserve">The next</w:t>
      </w:r>
      <w:r>
        <w:t xml:space="preserve"> </w:t>
      </w:r>
      <w:r>
        <w:rPr>
          <w:rStyle w:val="VerbatimChar"/>
        </w:rPr>
        <w:t xml:space="preserve">specialistFor(_ capability)</w:t>
      </w:r>
      <w:r>
        <w:t xml:space="preserve"> </w:t>
      </w:r>
      <w:r>
        <w:t xml:space="preserve">call after eviction triggers a reload. The user experiences ~500ms additional latency on the first query after memory recovery — comparable to a single network round-trip.</w:t>
      </w:r>
    </w:p>
    <w:bookmarkEnd w:id="15"/>
    <w:bookmarkStart w:id="17" w:name="Xba2c9837cda4c9a86b388953370a351b162fb45"/>
    <w:p>
      <w:pPr>
        <w:pStyle w:val="Heading3"/>
      </w:pPr>
      <w:r>
        <w:t xml:space="preserve">Provide the full technical report or model card, including training data sources, post-training methodology (SFT, RLHF, DPO, RLVF), and safety alignment procedures.</w:t>
      </w:r>
    </w:p>
    <w:p>
      <w:pPr>
        <w:pStyle w:val="FirstParagraph"/>
      </w:pPr>
      <w:r>
        <w:rPr>
          <w:b/>
          <w:bCs/>
        </w:rPr>
        <w:t xml:space="preserve">Technical report:</w:t>
      </w:r>
      <w:r>
        <w:t xml:space="preserve"> </w:t>
      </w:r>
      <w:r>
        <w:t xml:space="preserve">The LFM2 family technical report is published at</w:t>
      </w:r>
      <w:r>
        <w:t xml:space="preserve"> </w:t>
      </w:r>
      <w:hyperlink r:id="rId16">
        <w:r>
          <w:rPr>
            <w:rStyle w:val="Hyperlink"/>
          </w:rPr>
          <w:t xml:space="preserve">arxiv.org/abs/2511.23404</w:t>
        </w:r>
      </w:hyperlink>
      <w:r>
        <w:t xml:space="preserve"> </w:t>
      </w:r>
      <w:r>
        <w:t xml:space="preserve">(November 2025). Key details:</w:t>
      </w:r>
    </w:p>
    <w:p>
      <w:pPr>
        <w:pStyle w:val="BodyText"/>
      </w:pPr>
      <w:r>
        <w:rPr>
          <w:b/>
          <w:bCs/>
        </w:rPr>
        <w:t xml:space="preserve">Pre-training:</w:t>
      </w:r>
    </w:p>
    <w:p>
      <w:pPr>
        <w:pStyle w:val="Compact"/>
        <w:numPr>
          <w:ilvl w:val="0"/>
          <w:numId w:val="1001"/>
        </w:numPr>
      </w:pPr>
      <w:r>
        <w:t xml:space="preserve">10T tokens at 4,096 context length, then 1T higher-quality tokens at 32,768 context (mid-training phase)</w:t>
      </w:r>
    </w:p>
    <w:p>
      <w:pPr>
        <w:pStyle w:val="Compact"/>
        <w:numPr>
          <w:ilvl w:val="0"/>
          <w:numId w:val="1001"/>
        </w:numPr>
      </w:pPr>
      <w:r>
        <w:t xml:space="preserve">Data mix: 75% English, 20% multilingual (Arabic, Chinese, French, German, Japanese, Korean, Spanish), 5% code</w:t>
      </w:r>
    </w:p>
    <w:p>
      <w:pPr>
        <w:pStyle w:val="Compact"/>
        <w:numPr>
          <w:ilvl w:val="0"/>
          <w:numId w:val="1001"/>
        </w:numPr>
      </w:pPr>
      <w:r>
        <w:t xml:space="preserve">50% of code examples use fill-in-the-middle (FIM) objective</w:t>
      </w:r>
    </w:p>
    <w:p>
      <w:pPr>
        <w:pStyle w:val="Compact"/>
        <w:numPr>
          <w:ilvl w:val="0"/>
          <w:numId w:val="1001"/>
        </w:numPr>
      </w:pPr>
      <w:r>
        <w:t xml:space="preserve">Knowledge distillation from LFM1-7B teacher using tempered, decoupled Top-K distillation (K=32)</w:t>
      </w:r>
    </w:p>
    <w:p>
      <w:pPr>
        <w:pStyle w:val="Compact"/>
        <w:numPr>
          <w:ilvl w:val="0"/>
          <w:numId w:val="1001"/>
        </w:numPr>
      </w:pPr>
      <w:r>
        <w:t xml:space="preserve">Tokenizer: byte-level BPE, 65,536 vocabulary</w:t>
      </w:r>
    </w:p>
    <w:p>
      <w:pPr>
        <w:pStyle w:val="FirstParagraph"/>
      </w:pPr>
      <w:r>
        <w:rPr>
          <w:b/>
          <w:bCs/>
        </w:rPr>
        <w:t xml:space="preserve">Post-training — Stage 1 (SFT):</w:t>
      </w:r>
    </w:p>
    <w:p>
      <w:pPr>
        <w:pStyle w:val="Compact"/>
        <w:numPr>
          <w:ilvl w:val="0"/>
          <w:numId w:val="1002"/>
        </w:numPr>
      </w:pPr>
      <w:r>
        <w:t xml:space="preserve">5.39M samples from 67 curated sources (open-source datasets, licensed data, targeted synthetic generations)</w:t>
      </w:r>
    </w:p>
    <w:p>
      <w:pPr>
        <w:pStyle w:val="Compact"/>
        <w:numPr>
          <w:ilvl w:val="0"/>
          <w:numId w:val="1002"/>
        </w:numPr>
      </w:pPr>
      <w:r>
        <w:t xml:space="preserve">Data mix: general-purpose 26.6%, instruction following 17.1%, RAG 13.2%, real-world chats 10.1%, tool use 10.1%, off-policy preferences 8.2%, math reasoning 7.4%, long context 6.7%</w:t>
      </w:r>
    </w:p>
    <w:p>
      <w:pPr>
        <w:pStyle w:val="Compact"/>
        <w:numPr>
          <w:ilvl w:val="0"/>
          <w:numId w:val="1002"/>
        </w:numPr>
      </w:pPr>
      <w:r>
        <w:t xml:space="preserve">3 epochs, 32,768 context, AdamW optimizer, cosine learning rate schedule</w:t>
      </w:r>
    </w:p>
    <w:p>
      <w:pPr>
        <w:pStyle w:val="Compact"/>
        <w:numPr>
          <w:ilvl w:val="0"/>
          <w:numId w:val="1002"/>
        </w:numPr>
      </w:pPr>
      <w:r>
        <w:t xml:space="preserve">Curriculum learning using 12-model ensemble scoring (from LFM2-350M through Qwen3-235B)</w:t>
      </w:r>
    </w:p>
    <w:p>
      <w:pPr>
        <w:pStyle w:val="Compact"/>
        <w:numPr>
          <w:ilvl w:val="0"/>
          <w:numId w:val="1002"/>
        </w:numPr>
      </w:pPr>
      <w:r>
        <w:t xml:space="preserve">9-step quality control pipeline: human evaluation, LLM judge ensemble, malformed sample removal, refusal filtering, stylistic filtering, exact dedup, near-duplicate detection (CMinHash LSH), semantic dedup, decontamination (n-gram matching against eval benchmarks)</w:t>
      </w:r>
    </w:p>
    <w:p>
      <w:pPr>
        <w:pStyle w:val="FirstParagraph"/>
      </w:pPr>
      <w:r>
        <w:rPr>
          <w:b/>
          <w:bCs/>
        </w:rPr>
        <w:t xml:space="preserve">Post-training — Stage 2 (Preference Alignment):</w:t>
      </w:r>
    </w:p>
    <w:p>
      <w:pPr>
        <w:pStyle w:val="Compact"/>
        <w:numPr>
          <w:ilvl w:val="0"/>
          <w:numId w:val="1003"/>
        </w:numPr>
      </w:pPr>
      <w:r>
        <w:t xml:space="preserve">Method: Length-Normalized Direct Alignment Objective (a generalized DPO variant)</w:t>
      </w:r>
    </w:p>
    <w:p>
      <w:pPr>
        <w:pStyle w:val="Compact"/>
        <w:numPr>
          <w:ilvl w:val="0"/>
          <w:numId w:val="1003"/>
        </w:numPr>
      </w:pPr>
      <w:r>
        <w:t xml:space="preserve">~1M conversations, N=5 responses sampled per conversation from SFT checkpoint</w:t>
      </w:r>
    </w:p>
    <w:p>
      <w:pPr>
        <w:pStyle w:val="Compact"/>
        <w:numPr>
          <w:ilvl w:val="0"/>
          <w:numId w:val="1003"/>
        </w:numPr>
      </w:pPr>
      <w:r>
        <w:t xml:space="preserve">LLM jury scoring → select highest/lowest scored → ~700K final conversations</w:t>
      </w:r>
    </w:p>
    <w:p>
      <w:pPr>
        <w:pStyle w:val="Compact"/>
        <w:numPr>
          <w:ilvl w:val="0"/>
          <w:numId w:val="1003"/>
        </w:numPr>
      </w:pPr>
      <w:r>
        <w:t xml:space="preserve">Chosen responses refined via CLAIR (Contrastive Learning from AI Revisions)</w:t>
      </w:r>
    </w:p>
    <w:p>
      <w:pPr>
        <w:pStyle w:val="Compact"/>
        <w:numPr>
          <w:ilvl w:val="0"/>
          <w:numId w:val="1003"/>
        </w:numPr>
      </w:pPr>
      <w:r>
        <w:t xml:space="preserve">KL coefficient beta=5.0, 2 epochs</w:t>
      </w:r>
    </w:p>
    <w:p>
      <w:pPr>
        <w:pStyle w:val="Compact"/>
        <w:numPr>
          <w:ilvl w:val="0"/>
          <w:numId w:val="1003"/>
        </w:numPr>
      </w:pPr>
      <w:r>
        <w:t xml:space="preserve">Additional model merging (TIES-Merging, DARE, DELLA) with best checkpoint selection</w:t>
      </w:r>
    </w:p>
    <w:p>
      <w:pPr>
        <w:pStyle w:val="FirstParagraph"/>
      </w:pPr>
      <w:r>
        <w:rPr>
          <w:b/>
          <w:bCs/>
        </w:rPr>
        <w:t xml:space="preserve">Safety alignment:</w:t>
      </w:r>
      <w:r>
        <w:t xml:space="preserve"> </w:t>
      </w:r>
      <w:r>
        <w:t xml:space="preserve">The published report includes refusal filtering in the SFT data pipeline. Formal red-teaming results, safety benchmarks, and constitutional AI procedures are not detailed in the public report. For the banking use case, safety is addressed at the application layer: the 350M models are task-specific classifiers/extractors (not general-purpose chatbots), constrained output formats enforce JSON schema compliance, and the multi-layer pipeline (PII filter → intent router → specialist → egress guard) provides defense in depth.</w:t>
      </w:r>
    </w:p>
    <w:p>
      <w:pPr>
        <w:pStyle w:val="BodyText"/>
      </w:pPr>
      <w:r>
        <w:rPr>
          <w:b/>
          <w:bCs/>
        </w:rPr>
        <w:t xml:space="preserve">RLHF/RLVF:</w:t>
      </w:r>
      <w:r>
        <w:t xml:space="preserve"> </w:t>
      </w:r>
      <w:r>
        <w:t xml:space="preserve">Not used. The preference alignment uses DPO-family optimization (specifically, a length-normalized generalized DPO variant), not reinforcement learning from human feedback.</w:t>
      </w:r>
    </w:p>
    <w:p>
      <w:pPr>
        <w:pStyle w:val="BodyText"/>
      </w:pPr>
      <w:r>
        <w:rPr>
          <w:b/>
          <w:bCs/>
        </w:rPr>
        <w:t xml:space="preserve">LFM2.5 specifically:</w:t>
      </w:r>
      <w:r>
        <w:t xml:space="preserve"> </w:t>
      </w:r>
      <w:r>
        <w:t xml:space="preserve">LFM2.5 builds on the LFM2 base with 2.8x more pretraining data (28T vs 10T tokens) and additional RL. The same post-training methodology applies.</w:t>
      </w:r>
    </w:p>
    <w:p>
      <w:r>
        <w:pict>
          <v:rect style="width:0;height:1.5pt" o:hralign="center" o:hrstd="t" o:hr="t"/>
        </w:pict>
      </w:r>
    </w:p>
    <w:bookmarkEnd w:id="17"/>
    <w:bookmarkEnd w:id="18"/>
    <w:bookmarkStart w:id="23" w:name="Xf159716604cd02687a7f1b1d2ba3ef4a6ac2eb8"/>
    <w:p>
      <w:pPr>
        <w:pStyle w:val="Heading2"/>
      </w:pPr>
      <w:r>
        <w:t xml:space="preserve">iOS Deployment, Apple Silicon Compatibility</w:t>
      </w:r>
    </w:p>
    <w:bookmarkStart w:id="19" w:name="Xb3443e52cdee0862dcdb04ea805508e87bf911c"/>
    <w:p>
      <w:pPr>
        <w:pStyle w:val="Heading3"/>
      </w:pPr>
      <w:r>
        <w:t xml:space="preserve">What is the minimum iOS version and minimum device generation required? Is there graceful degradation behavior defined for unsupported devices?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rPr>
                <w:b/>
                <w:bCs/>
              </w:rPr>
              <w:t xml:space="preserve">Minimum iOS version</w:t>
            </w:r>
          </w:p>
        </w:tc>
        <w:tc>
          <w:tcPr/>
          <w:p>
            <w:pPr>
              <w:pStyle w:val="Compact"/>
            </w:pPr>
            <w:r>
              <w:t xml:space="preserve">iOS 17.0</w:t>
            </w:r>
          </w:p>
        </w:tc>
      </w:tr>
      <w:tr>
        <w:tc>
          <w:tcPr/>
          <w:p>
            <w:pPr>
              <w:pStyle w:val="Compact"/>
            </w:pPr>
            <w:r>
              <w:rPr>
                <w:b/>
                <w:bCs/>
              </w:rPr>
              <w:t xml:space="preserve">Minimum device</w:t>
            </w:r>
          </w:p>
        </w:tc>
        <w:tc>
          <w:tcPr/>
          <w:p>
            <w:pPr>
              <w:pStyle w:val="Compact"/>
            </w:pPr>
            <w:r>
              <w:t xml:space="preserve">iPhone 12 (A14 Bionic, 4 GB RAM)</w:t>
            </w:r>
          </w:p>
        </w:tc>
      </w:tr>
      <w:tr>
        <w:tc>
          <w:tcPr/>
          <w:p>
            <w:pPr>
              <w:pStyle w:val="Compact"/>
            </w:pPr>
            <w:r>
              <w:rPr>
                <w:b/>
                <w:bCs/>
              </w:rPr>
              <w:t xml:space="preserve">Recommended device</w:t>
            </w:r>
          </w:p>
        </w:tc>
        <w:tc>
          <w:tcPr/>
          <w:p>
            <w:pPr>
              <w:pStyle w:val="Compact"/>
            </w:pPr>
            <w:r>
              <w:t xml:space="preserve">iPhone 14+ (A16 Bionic, 6 GB RAM)</w:t>
            </w:r>
          </w:p>
        </w:tc>
      </w:tr>
    </w:tbl>
    <w:p>
      <w:pPr>
        <w:pStyle w:val="BodyText"/>
      </w:pPr>
      <w:r>
        <w:rPr>
          <w:b/>
          <w:bCs/>
        </w:rPr>
        <w:t xml:space="preserve">Graceful degradation is implemented via a tiered fallback chain:</w:t>
      </w:r>
    </w:p>
    <w:tbl>
      <w:tblPr>
        <w:tblStyle w:val="Table"/>
        <w:tblW w:type="pct" w:w="5000"/>
        <w:tblLayout w:type="fixed"/>
        <w:tblLook w:firstRow="1" w:lastRow="0" w:firstColumn="0" w:lastColumn="0" w:noHBand="0" w:noVBand="0" w:val="0020"/>
      </w:tblPr>
      <w:tblGrid>
        <w:gridCol w:w="1719"/>
        <w:gridCol w:w="675"/>
        <w:gridCol w:w="5525"/>
      </w:tblGrid>
      <w:tr>
        <w:trPr>
          <w:tblHeader w:val="on"/>
        </w:trPr>
        <w:tc>
          <w:tcPr/>
          <w:p>
            <w:pPr>
              <w:pStyle w:val="Compact"/>
            </w:pPr>
            <w:r>
              <w:t xml:space="preserve">Device Tier</w:t>
            </w:r>
          </w:p>
        </w:tc>
        <w:tc>
          <w:tcPr/>
          <w:p>
            <w:pPr>
              <w:pStyle w:val="Compact"/>
            </w:pPr>
            <w:r>
              <w:t xml:space="preserve">RAM</w:t>
            </w:r>
          </w:p>
        </w:tc>
        <w:tc>
          <w:tcPr/>
          <w:p>
            <w:pPr>
              <w:pStyle w:val="Compact"/>
            </w:pPr>
            <w:r>
              <w:t xml:space="preserve">Behavior</w:t>
            </w:r>
          </w:p>
        </w:tc>
      </w:tr>
      <w:tr>
        <w:tc>
          <w:tcPr/>
          <w:p>
            <w:pPr>
              <w:pStyle w:val="Compact"/>
            </w:pPr>
            <w:r>
              <w:t xml:space="preserve">iPhone 14 Pro+ (A16, 6 GB)</w:t>
            </w:r>
          </w:p>
        </w:tc>
        <w:tc>
          <w:tcPr/>
          <w:p>
            <w:pPr>
              <w:pStyle w:val="Compact"/>
            </w:pPr>
            <w:r>
              <w:t xml:space="preserve">Recommended</w:t>
            </w:r>
          </w:p>
        </w:tc>
        <w:tc>
          <w:tcPr/>
          <w:p>
            <w:pPr>
              <w:pStyle w:val="Compact"/>
            </w:pPr>
            <w:r>
              <w:t xml:space="preserve">Full on-device inference, all 15 heads, sustained performance</w:t>
            </w:r>
          </w:p>
        </w:tc>
      </w:tr>
      <w:tr>
        <w:tc>
          <w:tcPr/>
          <w:p>
            <w:pPr>
              <w:pStyle w:val="Compact"/>
            </w:pPr>
            <w:r>
              <w:t xml:space="preserve">iPhone 12–13 (A14–A15, 4 GB)</w:t>
            </w:r>
          </w:p>
        </w:tc>
        <w:tc>
          <w:tcPr/>
          <w:p>
            <w:pPr>
              <w:pStyle w:val="Compact"/>
            </w:pPr>
            <w:r>
              <w:t xml:space="preserve">Supported</w:t>
            </w:r>
          </w:p>
        </w:tc>
        <w:tc>
          <w:tcPr/>
          <w:p>
            <w:pPr>
              <w:pStyle w:val="Compact"/>
            </w:pPr>
            <w:r>
              <w:t xml:space="preserve">On-device works but higher memory pressure, more frequent model eviction and reload cycles</w:t>
            </w:r>
          </w:p>
        </w:tc>
      </w:tr>
      <w:tr>
        <w:tc>
          <w:tcPr/>
          <w:p>
            <w:pPr>
              <w:pStyle w:val="Compact"/>
            </w:pPr>
            <w:r>
              <w:t xml:space="preserve">iPhone 11 and older</w:t>
            </w:r>
          </w:p>
        </w:tc>
        <w:tc>
          <w:tcPr/>
          <w:p>
            <w:pPr>
              <w:pStyle w:val="Compact"/>
            </w:pPr>
            <w:r>
              <w:t xml:space="preserve">Unsupported</w:t>
            </w:r>
          </w:p>
        </w:tc>
        <w:tc>
          <w:tcPr/>
          <w:p>
            <w:pPr>
              <w:pStyle w:val="Compact"/>
            </w:pPr>
            <w:r>
              <w:t xml:space="preserve">Cloud-only mode with consent gate. Model too large for available memory.</w:t>
            </w:r>
          </w:p>
        </w:tc>
      </w:tr>
    </w:tbl>
    <w:p>
      <w:pPr>
        <w:pStyle w:val="BodyText"/>
      </w:pPr>
      <w:r>
        <w:rPr>
          <w:b/>
          <w:bCs/>
        </w:rPr>
        <w:t xml:space="preserve">How degradation works in code:</w:t>
      </w:r>
      <w:r>
        <w:t xml:space="preserve"> </w:t>
      </w:r>
      <w:r>
        <w:rPr>
          <w:rStyle w:val="VerbatimChar"/>
        </w:rPr>
        <w:t xml:space="preserve">UnifiedEngineProxy</w:t>
      </w:r>
      <w:r>
        <w:t xml:space="preserve"> </w:t>
      </w:r>
      <w:r>
        <w:t xml:space="preserve">attempts inference through a prioritized chain:</w:t>
      </w:r>
    </w:p>
    <w:p>
      <w:pPr>
        <w:pStyle w:val="Compact"/>
        <w:numPr>
          <w:ilvl w:val="0"/>
          <w:numId w:val="1004"/>
        </w:numPr>
      </w:pPr>
      <w:r>
        <w:rPr>
          <w:b/>
          <w:bCs/>
        </w:rPr>
        <w:t xml:space="preserve">On-device (LoRA adapter)</w:t>
      </w:r>
      <w:r>
        <w:t xml:space="preserve"> </w:t>
      </w:r>
      <w:r>
        <w:t xml:space="preserve">— base model loaded + adapter available → ~35–700ms</w:t>
      </w:r>
    </w:p>
    <w:p>
      <w:pPr>
        <w:pStyle w:val="Compact"/>
        <w:numPr>
          <w:ilvl w:val="0"/>
          <w:numId w:val="1004"/>
        </w:numPr>
      </w:pPr>
      <w:r>
        <w:rPr>
          <w:b/>
          <w:bCs/>
        </w:rPr>
        <w:t xml:space="preserve">On-device (specialist pack)</w:t>
      </w:r>
      <w:r>
        <w:t xml:space="preserve"> </w:t>
      </w:r>
      <w:r>
        <w:t xml:space="preserve">— downloaded Intelligence Pack in</w:t>
      </w:r>
      <w:r>
        <w:t xml:space="preserve"> </w:t>
      </w:r>
      <w:r>
        <w:rPr>
          <w:rStyle w:val="VerbatimChar"/>
        </w:rPr>
        <w:t xml:space="preserve">ModelPool</w:t>
      </w:r>
      <w:r>
        <w:t xml:space="preserve"> </w:t>
      </w:r>
      <w:r>
        <w:t xml:space="preserve">→ ~35–700ms</w:t>
      </w:r>
    </w:p>
    <w:p>
      <w:pPr>
        <w:pStyle w:val="Compact"/>
        <w:numPr>
          <w:ilvl w:val="0"/>
          <w:numId w:val="1004"/>
        </w:numPr>
      </w:pPr>
      <w:r>
        <w:rPr>
          <w:b/>
          <w:bCs/>
        </w:rPr>
        <w:t xml:space="preserve">Cloud (consent-gated)</w:t>
      </w:r>
      <w:r>
        <w:t xml:space="preserve"> </w:t>
      </w:r>
      <w:r>
        <w:t xml:space="preserve">— user has granted cloud consent + PII filtered via</w:t>
      </w:r>
      <w:r>
        <w:t xml:space="preserve"> </w:t>
      </w:r>
      <w:r>
        <w:rPr>
          <w:rStyle w:val="VerbatimChar"/>
        </w:rPr>
        <w:t xml:space="preserve">EgressGuard</w:t>
      </w:r>
      <w:r>
        <w:t xml:space="preserve"> </w:t>
      </w:r>
      <w:r>
        <w:t xml:space="preserve">→ ~200–500ms</w:t>
      </w:r>
    </w:p>
    <w:p>
      <w:pPr>
        <w:pStyle w:val="Compact"/>
        <w:numPr>
          <w:ilvl w:val="0"/>
          <w:numId w:val="1004"/>
        </w:numPr>
      </w:pPr>
      <w:r>
        <w:rPr>
          <w:b/>
          <w:bCs/>
        </w:rPr>
        <w:t xml:space="preserve">Error message</w:t>
      </w:r>
      <w:r>
        <w:t xml:space="preserve"> </w:t>
      </w:r>
      <w:r>
        <w:t xml:space="preserve">— all paths exhausted → immediate graceful failure</w:t>
      </w:r>
    </w:p>
    <w:p>
      <w:pPr>
        <w:pStyle w:val="FirstParagraph"/>
      </w:pPr>
      <w:r>
        <w:t xml:space="preserve">Cloud fallback requires explicit per-session consent via</w:t>
      </w:r>
      <w:r>
        <w:t xml:space="preserve"> </w:t>
      </w:r>
      <w:r>
        <w:rPr>
          <w:rStyle w:val="VerbatimChar"/>
        </w:rPr>
        <w:t xml:space="preserve">ConsentManager</w:t>
      </w:r>
      <w:r>
        <w:t xml:space="preserve"> </w:t>
      </w:r>
      <w:r>
        <w:t xml:space="preserve">(state machine:</w:t>
      </w:r>
      <w:r>
        <w:t xml:space="preserve"> </w:t>
      </w:r>
      <w:r>
        <w:rPr>
          <w:rStyle w:val="VerbatimChar"/>
        </w:rPr>
        <w:t xml:space="preserve">.notAsked</w:t>
      </w:r>
      <w:r>
        <w:t xml:space="preserve"> </w:t>
      </w:r>
      <w:r>
        <w:t xml:space="preserve">→</w:t>
      </w:r>
      <w:r>
        <w:t xml:space="preserve"> </w:t>
      </w:r>
      <w:r>
        <w:rPr>
          <w:rStyle w:val="VerbatimChar"/>
        </w:rPr>
        <w:t xml:space="preserve">.granted</w:t>
      </w:r>
      <w:r>
        <w:t xml:space="preserve"> </w:t>
      </w:r>
      <w:r>
        <w:t xml:space="preserve">|</w:t>
      </w:r>
      <w:r>
        <w:t xml:space="preserve"> </w:t>
      </w:r>
      <w:r>
        <w:rPr>
          <w:rStyle w:val="VerbatimChar"/>
        </w:rPr>
        <w:t xml:space="preserve">.denied</w:t>
      </w:r>
      <w:r>
        <w:t xml:space="preserve">). Consent resets on every app restart — no persistent cloud authorization. Even after consent, all input passes through</w:t>
      </w:r>
      <w:r>
        <w:t xml:space="preserve"> </w:t>
      </w:r>
      <w:r>
        <w:rPr>
          <w:rStyle w:val="VerbatimChar"/>
        </w:rPr>
        <w:t xml:space="preserve">EgressGuard.prepareEgress()</w:t>
      </w:r>
      <w:r>
        <w:t xml:space="preserve"> </w:t>
      </w:r>
      <w:r>
        <w:t xml:space="preserve">which replaces detected PII with reversible placeholders (</w:t>
      </w:r>
      <w:r>
        <w:rPr>
          <w:rStyle w:val="VerbatimChar"/>
        </w:rPr>
        <w:t xml:space="preserve">&lt;&lt;PII:TYPE:N&gt;&gt;</w:t>
      </w:r>
      <w:r>
        <w:t xml:space="preserve">) before any data leaves the device.</w:t>
      </w:r>
    </w:p>
    <w:bookmarkEnd w:id="19"/>
    <w:bookmarkStart w:id="20" w:name="X5f6f77697d7d0514b913d3cd7e8cb2be0245d2a"/>
    <w:p>
      <w:pPr>
        <w:pStyle w:val="Heading3"/>
      </w:pPr>
      <w:r>
        <w:t xml:space="preserve">What deployment formats are supported — GGUF, Core ML (.mlpackage), ONNX, ExecuTorch, MLX? For each format, what is the documented throughput overhead vs. the native format on Apple Silicon?</w:t>
      </w:r>
    </w:p>
    <w:tbl>
      <w:tblPr>
        <w:tblStyle w:val="Table"/>
        <w:tblW w:type="pct" w:w="5000"/>
        <w:tblLayout w:type="fixed"/>
        <w:tblLook w:firstRow="1" w:lastRow="0" w:firstColumn="0" w:lastColumn="0" w:noHBand="0" w:noVBand="0" w:val="0020"/>
      </w:tblPr>
      <w:tblGrid>
        <w:gridCol w:w="680"/>
        <w:gridCol w:w="340"/>
        <w:gridCol w:w="1967"/>
        <w:gridCol w:w="4931"/>
      </w:tblGrid>
      <w:tr>
        <w:trPr>
          <w:tblHeader w:val="on"/>
        </w:trPr>
        <w:tc>
          <w:tcPr/>
          <w:p>
            <w:pPr>
              <w:pStyle w:val="Compact"/>
            </w:pPr>
            <w:r>
              <w:t xml:space="preserve">Format</w:t>
            </w:r>
          </w:p>
        </w:tc>
        <w:tc>
          <w:tcPr/>
          <w:p>
            <w:pPr>
              <w:pStyle w:val="Compact"/>
            </w:pPr>
            <w:r>
              <w:t xml:space="preserve">Status</w:t>
            </w:r>
          </w:p>
        </w:tc>
        <w:tc>
          <w:tcPr/>
          <w:p>
            <w:pPr>
              <w:pStyle w:val="Compact"/>
            </w:pPr>
            <w:r>
              <w:t xml:space="preserve">Throughput vs GGUF</w:t>
            </w:r>
          </w:p>
        </w:tc>
        <w:tc>
          <w:tcPr/>
          <w:p>
            <w:pPr>
              <w:pStyle w:val="Compact"/>
            </w:pPr>
            <w:r>
              <w:t xml:space="preserve">Notes</w:t>
            </w:r>
          </w:p>
        </w:tc>
      </w:tr>
      <w:tr>
        <w:tc>
          <w:tcPr/>
          <w:p>
            <w:pPr>
              <w:pStyle w:val="Compact"/>
            </w:pPr>
            <w:r>
              <w:rPr>
                <w:b/>
                <w:bCs/>
              </w:rPr>
              <w:t xml:space="preserve">GGUF (llama.cpp + Metal)</w:t>
            </w:r>
          </w:p>
        </w:tc>
        <w:tc>
          <w:tcPr/>
          <w:p>
            <w:pPr>
              <w:pStyle w:val="Compact"/>
            </w:pPr>
            <w:r>
              <w:rPr>
                <w:b/>
                <w:bCs/>
              </w:rPr>
              <w:t xml:space="preserve">Production</w:t>
            </w:r>
          </w:p>
        </w:tc>
        <w:tc>
          <w:tcPr/>
          <w:p>
            <w:pPr>
              <w:pStyle w:val="Compact"/>
            </w:pPr>
            <w:r>
              <w:t xml:space="preserve">Baseline (103.5 tok/s decode on iPhone 14 Pro)</w:t>
            </w:r>
          </w:p>
        </w:tc>
        <w:tc>
          <w:tcPr/>
          <w:p>
            <w:pPr>
              <w:pStyle w:val="Compact"/>
            </w:pPr>
            <w:r>
              <w:t xml:space="preserve">Optimal for autoregressive LLM decode on Apple Silicon. Direct Metal GPU access. Full LoRA hot-swap support. This is the deployed format.</w:t>
            </w:r>
          </w:p>
        </w:tc>
      </w:tr>
      <w:tr>
        <w:tc>
          <w:tcPr/>
          <w:p>
            <w:pPr>
              <w:pStyle w:val="Compact"/>
            </w:pPr>
            <w:r>
              <w:t xml:space="preserve">Core ML (.mlpackage)</w:t>
            </w:r>
          </w:p>
        </w:tc>
        <w:tc>
          <w:tcPr/>
          <w:p>
            <w:pPr>
              <w:pStyle w:val="Compact"/>
            </w:pPr>
            <w:r>
              <w:t xml:space="preserve">Not used</w:t>
            </w:r>
          </w:p>
        </w:tc>
        <w:tc>
          <w:tcPr/>
          <w:p>
            <w:pPr>
              <w:pStyle w:val="Compact"/>
            </w:pPr>
            <w:r>
              <w:t xml:space="preserve">Adds conversion overhead with no throughput benefit for token-by-token generation</w:t>
            </w:r>
          </w:p>
        </w:tc>
        <w:tc>
          <w:tcPr/>
          <w:p>
            <w:pPr>
              <w:pStyle w:val="Compact"/>
            </w:pPr>
            <w:r>
              <w:t xml:space="preserve">Core ML is optimized for batch vision/audio workloads, not autoregressive LLM decode. The per-token overhead of CoreML’s predict API exceeds llama.cpp’s tight Metal compute pipeline for this model class.</w:t>
            </w:r>
          </w:p>
        </w:tc>
      </w:tr>
      <w:tr>
        <w:tc>
          <w:tcPr/>
          <w:p>
            <w:pPr>
              <w:pStyle w:val="Compact"/>
            </w:pPr>
            <w:r>
              <w:t xml:space="preserve">ONNX</w:t>
            </w:r>
          </w:p>
        </w:tc>
        <w:tc>
          <w:tcPr/>
          <w:p>
            <w:pPr>
              <w:pStyle w:val="Compact"/>
            </w:pPr>
            <w:r>
              <w:t xml:space="preserve">Not applicable</w:t>
            </w:r>
          </w:p>
        </w:tc>
        <w:tc>
          <w:tcPr/>
          <w:p>
            <w:pPr>
              <w:pStyle w:val="Compact"/>
            </w:pPr>
            <w:r>
              <w:t xml:space="preserve">No Apple Silicon Metal backend</w:t>
            </w:r>
          </w:p>
        </w:tc>
        <w:tc>
          <w:tcPr/>
          <w:p>
            <w:pPr>
              <w:pStyle w:val="Compact"/>
            </w:pPr>
            <w:r>
              <w:t xml:space="preserve">ONNX Runtime Mobile exists but does not leverage Metal GPU for LLM decode workloads at this scale.</w:t>
            </w:r>
          </w:p>
        </w:tc>
      </w:tr>
      <w:tr>
        <w:tc>
          <w:tcPr/>
          <w:p>
            <w:pPr>
              <w:pStyle w:val="Compact"/>
            </w:pPr>
            <w:r>
              <w:t xml:space="preserve">ExecuTorch</w:t>
            </w:r>
          </w:p>
        </w:tc>
        <w:tc>
          <w:tcPr/>
          <w:p>
            <w:pPr>
              <w:pStyle w:val="Compact"/>
            </w:pPr>
            <w:r>
              <w:t xml:space="preserve">Evaluated</w:t>
            </w:r>
          </w:p>
        </w:tc>
        <w:tc>
          <w:tcPr/>
          <w:p>
            <w:pPr>
              <w:pStyle w:val="Compact"/>
            </w:pPr>
            <w:r>
              <w:t xml:space="preserve">Higher integration complexity, no measurable advantage over llama.cpp</w:t>
            </w:r>
          </w:p>
        </w:tc>
        <w:tc>
          <w:tcPr/>
          <w:p>
            <w:pPr>
              <w:pStyle w:val="Compact"/>
            </w:pPr>
            <w:r>
              <w:t xml:space="preserve">PyTorch Mobile runtime. The LFM2 technical report references ExecuTorch with 8da4w quantization for edge deployment, but llama.cpp + Metal is the production-validated path for iOS.</w:t>
            </w:r>
          </w:p>
        </w:tc>
      </w:tr>
      <w:tr>
        <w:tc>
          <w:tcPr/>
          <w:p>
            <w:pPr>
              <w:pStyle w:val="Compact"/>
            </w:pPr>
            <w:r>
              <w:t xml:space="preserve">MLX</w:t>
            </w:r>
          </w:p>
        </w:tc>
        <w:tc>
          <w:tcPr/>
          <w:p>
            <w:pPr>
              <w:pStyle w:val="Compact"/>
            </w:pPr>
            <w:r>
              <w:t xml:space="preserve">Not used</w:t>
            </w:r>
          </w:p>
        </w:tc>
        <w:tc>
          <w:tcPr/>
          <w:p>
            <w:pPr>
              <w:pStyle w:val="Compact"/>
            </w:pPr>
            <w:r>
              <w:t xml:space="preserve">macOS only</w:t>
            </w:r>
          </w:p>
        </w:tc>
        <w:tc>
          <w:tcPr/>
          <w:p>
            <w:pPr>
              <w:pStyle w:val="Compact"/>
            </w:pPr>
            <w:r>
              <w:t xml:space="preserve">Apple’s research framework. Not production-ready for iOS app distribution. No UIKit/SwiftUI integration path.</w:t>
            </w:r>
          </w:p>
        </w:tc>
      </w:tr>
    </w:tbl>
    <w:p>
      <w:pPr>
        <w:pStyle w:val="BodyText"/>
      </w:pPr>
      <w:r>
        <w:rPr>
          <w:b/>
          <w:bCs/>
        </w:rPr>
        <w:t xml:space="preserve">Why GGUF/llama.cpp is the right choice for autoregressive LLM inference on iOS:</w:t>
      </w:r>
      <w:r>
        <w:t xml:space="preserve"> </w:t>
      </w:r>
      <w:r>
        <w:t xml:space="preserve">llama.cpp’s Metal backend compiles model-specific GPU kernels at load time, then executes a tight decode loop with minimal CPU-GPU synchronization overhead. For token-by-token generation (the dominant cost in LLM inference), this architecture outperforms framework-agnostic runtimes that add abstraction layers between the model and the GPU.</w:t>
      </w:r>
    </w:p>
    <w:bookmarkEnd w:id="20"/>
    <w:bookmarkStart w:id="21" w:name="Xecf94731911e6986fade5096a2c0ce8166f2872"/>
    <w:p>
      <w:pPr>
        <w:pStyle w:val="Heading3"/>
      </w:pPr>
      <w:r>
        <w:t xml:space="preserve">What is the App Store distribution strategy for model weights? Are weights bundled in the IPA, downloaded as on-demand resources (ODR), or fetched post-install via your SDK? What are the size implications and Apple review implications of each approach?</w:t>
      </w:r>
    </w:p>
    <w:p>
      <w:pPr>
        <w:pStyle w:val="FirstParagraph"/>
      </w:pPr>
      <w:r>
        <w:rPr>
          <w:b/>
          <w:bCs/>
        </w:rPr>
        <w:t xml:space="preserve">Current strategy: Hybrid — base model bundled, adapters updatable via CDN.</w:t>
      </w:r>
    </w:p>
    <w:tbl>
      <w:tblPr>
        <w:tblStyle w:val="Table"/>
        <w:tblW w:type="pct" w:w="5000"/>
        <w:tblLayout w:type="fixed"/>
        <w:tblLook w:firstRow="1" w:lastRow="0" w:firstColumn="0" w:lastColumn="0" w:noHBand="0" w:noVBand="0" w:val="0020"/>
      </w:tblPr>
      <w:tblGrid>
        <w:gridCol w:w="1992"/>
        <w:gridCol w:w="2640"/>
        <w:gridCol w:w="647"/>
        <w:gridCol w:w="2640"/>
      </w:tblGrid>
      <w:tr>
        <w:trPr>
          <w:tblHeader w:val="on"/>
        </w:trPr>
        <w:tc>
          <w:tcPr/>
          <w:p>
            <w:pPr>
              <w:pStyle w:val="Compact"/>
            </w:pPr>
            <w:r>
              <w:t xml:space="preserve">Component</w:t>
            </w:r>
          </w:p>
        </w:tc>
        <w:tc>
          <w:tcPr/>
          <w:p>
            <w:pPr>
              <w:pStyle w:val="Compact"/>
            </w:pPr>
            <w:r>
              <w:t xml:space="preserve">Distribution</w:t>
            </w:r>
          </w:p>
        </w:tc>
        <w:tc>
          <w:tcPr/>
          <w:p>
            <w:pPr>
              <w:pStyle w:val="Compact"/>
            </w:pPr>
            <w:r>
              <w:t xml:space="preserve">Size</w:t>
            </w:r>
          </w:p>
        </w:tc>
        <w:tc>
          <w:tcPr/>
          <w:p>
            <w:pPr>
              <w:pStyle w:val="Compact"/>
            </w:pPr>
            <w:r>
              <w:t xml:space="preserve">App Store Review Required?</w:t>
            </w:r>
          </w:p>
        </w:tc>
      </w:tr>
      <w:tr>
        <w:tc>
          <w:tcPr/>
          <w:p>
            <w:pPr>
              <w:pStyle w:val="Compact"/>
            </w:pPr>
            <w:r>
              <w:t xml:space="preserve">Base model (GGUF Q4_0)</w:t>
            </w:r>
          </w:p>
        </w:tc>
        <w:tc>
          <w:tcPr/>
          <w:p>
            <w:pPr>
              <w:pStyle w:val="Compact"/>
            </w:pPr>
            <w:r>
              <w:t xml:space="preserve">Bundled in IPA</w:t>
            </w:r>
          </w:p>
        </w:tc>
        <w:tc>
          <w:tcPr/>
          <w:p>
            <w:pPr>
              <w:pStyle w:val="Compact"/>
            </w:pPr>
            <w:r>
              <w:t xml:space="preserve">209 MB</w:t>
            </w:r>
          </w:p>
        </w:tc>
        <w:tc>
          <w:tcPr/>
          <w:p>
            <w:pPr>
              <w:pStyle w:val="Compact"/>
            </w:pPr>
            <w:r>
              <w:t xml:space="preserve">Yes (new app version required for base model changes)</w:t>
            </w:r>
          </w:p>
        </w:tc>
      </w:tr>
      <w:tr>
        <w:tc>
          <w:tcPr/>
          <w:p>
            <w:pPr>
              <w:pStyle w:val="Compact"/>
            </w:pPr>
            <w:r>
              <w:t xml:space="preserve">LoRA adapters</w:t>
            </w:r>
          </w:p>
        </w:tc>
        <w:tc>
          <w:tcPr/>
          <w:p>
            <w:pPr>
              <w:pStyle w:val="Compact"/>
            </w:pPr>
            <w:r>
              <w:t xml:space="preserve">On-demand resource or CDN download via</w:t>
            </w:r>
            <w:r>
              <w:t xml:space="preserve"> </w:t>
            </w:r>
            <w:r>
              <w:rPr>
                <w:rStyle w:val="VerbatimChar"/>
              </w:rPr>
              <w:t xml:space="preserve">ModelManager</w:t>
            </w:r>
          </w:p>
        </w:tc>
        <w:tc>
          <w:tcPr/>
          <w:p>
            <w:pPr>
              <w:pStyle w:val="Compact"/>
            </w:pPr>
            <w:r>
              <w:t xml:space="preserve">1–3 MB each</w:t>
            </w:r>
          </w:p>
        </w:tc>
        <w:tc>
          <w:tcPr/>
          <w:p>
            <w:pPr>
              <w:pStyle w:val="Compact"/>
            </w:pPr>
            <w:r>
              <w:t xml:space="preserve">No — static weight files, not executable code</w:t>
            </w:r>
          </w:p>
        </w:tc>
      </w:tr>
      <w:tr>
        <w:tc>
          <w:tcPr/>
          <w:p>
            <w:pPr>
              <w:pStyle w:val="Compact"/>
            </w:pPr>
            <w:r>
              <w:t xml:space="preserve">Classifier heads</w:t>
            </w:r>
          </w:p>
        </w:tc>
        <w:tc>
          <w:tcPr/>
          <w:p>
            <w:pPr>
              <w:pStyle w:val="Compact"/>
            </w:pPr>
            <w:r>
              <w:t xml:space="preserve">On-demand resource or CDN download</w:t>
            </w:r>
          </w:p>
        </w:tc>
        <w:tc>
          <w:tcPr/>
          <w:p>
            <w:pPr>
              <w:pStyle w:val="Compact"/>
            </w:pPr>
            <w:r>
              <w:t xml:space="preserve">20–80 KB each</w:t>
            </w:r>
          </w:p>
        </w:tc>
        <w:tc>
          <w:tcPr/>
          <w:p>
            <w:pPr>
              <w:pStyle w:val="Compact"/>
            </w:pPr>
            <w:r>
              <w:t xml:space="preserve">No — float32 binary data</w:t>
            </w:r>
          </w:p>
        </w:tc>
      </w:tr>
      <w:tr>
        <w:tc>
          <w:tcPr/>
          <w:p>
            <w:pPr>
              <w:pStyle w:val="Compact"/>
            </w:pPr>
            <w:r>
              <w:t xml:space="preserve">Head metadata (class labels, thresholds)</w:t>
            </w:r>
          </w:p>
        </w:tc>
        <w:tc>
          <w:tcPr/>
          <w:p>
            <w:pPr>
              <w:pStyle w:val="Compact"/>
            </w:pPr>
            <w:r>
              <w:t xml:space="preserve">JSON config via CDN</w:t>
            </w:r>
          </w:p>
        </w:tc>
        <w:tc>
          <w:tcPr/>
          <w:p>
            <w:pPr>
              <w:pStyle w:val="Compact"/>
            </w:pPr>
            <w:r>
              <w:t xml:space="preserve">&lt;1 KB each</w:t>
            </w:r>
          </w:p>
        </w:tc>
        <w:tc>
          <w:tcPr/>
          <w:p>
            <w:pPr>
              <w:pStyle w:val="Compact"/>
            </w:pPr>
            <w:r>
              <w:t xml:space="preserve">No</w:t>
            </w:r>
          </w:p>
        </w:tc>
      </w:tr>
    </w:tbl>
    <w:p>
      <w:pPr>
        <w:pStyle w:val="BodyText"/>
      </w:pPr>
      <w:r>
        <w:rPr>
          <w:b/>
          <w:bCs/>
        </w:rPr>
        <w:t xml:space="preserve">Size implications:</w:t>
      </w:r>
    </w:p>
    <w:p>
      <w:pPr>
        <w:pStyle w:val="Compact"/>
        <w:numPr>
          <w:ilvl w:val="0"/>
          <w:numId w:val="1005"/>
        </w:numPr>
      </w:pPr>
      <w:r>
        <w:t xml:space="preserve">IPA size: ~209 MB for base model + ~1–3 MB per bundled adapter. Comparable to apps with offline maps or media assets (e.g., Google Maps offline: ~300 MB, Spotify offline cache: 1–10 GB).</w:t>
      </w:r>
    </w:p>
    <w:p>
      <w:pPr>
        <w:pStyle w:val="Compact"/>
        <w:numPr>
          <w:ilvl w:val="0"/>
          <w:numId w:val="1005"/>
        </w:numPr>
      </w:pPr>
      <w:r>
        <w:t xml:space="preserve">Apple’s current IPA size limit is 4 GB. The complete banking bundle (base + 7 adapters + 15 heads) is ~290 MB — well within limits.</w:t>
      </w:r>
    </w:p>
    <w:p>
      <w:pPr>
        <w:pStyle w:val="FirstParagraph"/>
      </w:pPr>
      <w:r>
        <w:rPr>
          <w:b/>
          <w:bCs/>
        </w:rPr>
        <w:t xml:space="preserve">Apple review implications:</w:t>
      </w:r>
    </w:p>
    <w:p>
      <w:pPr>
        <w:pStyle w:val="Compact"/>
        <w:numPr>
          <w:ilvl w:val="0"/>
          <w:numId w:val="1006"/>
        </w:numPr>
      </w:pPr>
      <w:r>
        <w:t xml:space="preserve">Model weights are static binary assets (float32 and quantized integer arrays). Apple treats these identically to CoreML model files or image assets — no executable code review required for weight-only updates.</w:t>
      </w:r>
    </w:p>
    <w:p>
      <w:pPr>
        <w:pStyle w:val="Compact"/>
        <w:numPr>
          <w:ilvl w:val="0"/>
          <w:numId w:val="1006"/>
        </w:numPr>
      </w:pPr>
      <w:r>
        <w:t xml:space="preserve">The base model bundled in the IPA goes through standard App Store binary review on each app version submission.</w:t>
      </w:r>
    </w:p>
    <w:p>
      <w:pPr>
        <w:pStyle w:val="Compact"/>
        <w:numPr>
          <w:ilvl w:val="0"/>
          <w:numId w:val="1006"/>
        </w:numPr>
      </w:pPr>
      <w:r>
        <w:t xml:space="preserve">Post-install adapter/head downloads via CDN do not trigger App Store review. This is the same mechanism apps use for downloading additional content packs (games, language packs, map data).</w:t>
      </w:r>
    </w:p>
    <w:p>
      <w:pPr>
        <w:pStyle w:val="FirstParagraph"/>
      </w:pPr>
      <w:r>
        <w:rPr>
          <w:b/>
          <w:bCs/>
        </w:rPr>
        <w:t xml:space="preserve">Download infrastructure:</w:t>
      </w:r>
      <w:r>
        <w:t xml:space="preserve"> </w:t>
      </w:r>
      <w:r>
        <w:rPr>
          <w:rStyle w:val="VerbatimChar"/>
        </w:rPr>
        <w:t xml:space="preserve">ModelManager</w:t>
      </w:r>
      <w:r>
        <w:t xml:space="preserve"> </w:t>
      </w:r>
      <w:r>
        <w:t xml:space="preserve">(a Swift</w:t>
      </w:r>
      <w:r>
        <w:t xml:space="preserve"> </w:t>
      </w:r>
      <w:r>
        <w:rPr>
          <w:rStyle w:val="VerbatimChar"/>
        </w:rPr>
        <w:t xml:space="preserve">actor</w:t>
      </w:r>
      <w:r>
        <w:t xml:space="preserve">) handles adapter and head downloads with:</w:t>
      </w:r>
    </w:p>
    <w:p>
      <w:pPr>
        <w:pStyle w:val="Compact"/>
        <w:numPr>
          <w:ilvl w:val="0"/>
          <w:numId w:val="1007"/>
        </w:numPr>
      </w:pPr>
      <w:r>
        <w:t xml:space="preserve">Streaming download via</w:t>
      </w:r>
      <w:r>
        <w:t xml:space="preserve"> </w:t>
      </w:r>
      <w:r>
        <w:rPr>
          <w:rStyle w:val="VerbatimChar"/>
        </w:rPr>
        <w:t xml:space="preserve">URLSession</w:t>
      </w:r>
      <w:r>
        <w:t xml:space="preserve"> </w:t>
      </w:r>
      <w:r>
        <w:t xml:space="preserve">with 64 KB chunked writes</w:t>
      </w:r>
    </w:p>
    <w:p>
      <w:pPr>
        <w:pStyle w:val="Compact"/>
        <w:numPr>
          <w:ilvl w:val="0"/>
          <w:numId w:val="1007"/>
        </w:numPr>
      </w:pPr>
      <w:r>
        <w:t xml:space="preserve">Atomic file rename on completion (no partial files visible to the engine)</w:t>
      </w:r>
    </w:p>
    <w:p>
      <w:pPr>
        <w:pStyle w:val="Compact"/>
        <w:numPr>
          <w:ilvl w:val="0"/>
          <w:numId w:val="1007"/>
        </w:numPr>
      </w:pPr>
      <w:r>
        <w:t xml:space="preserve">SHA256 checksum verification (streaming, 64 KB chunks) before activation</w:t>
      </w:r>
    </w:p>
    <w:p>
      <w:pPr>
        <w:pStyle w:val="Compact"/>
        <w:numPr>
          <w:ilvl w:val="0"/>
          <w:numId w:val="1007"/>
        </w:numPr>
      </w:pPr>
      <w:r>
        <w:t xml:space="preserve">Progress reporting at ~1% increments for UI feedback</w:t>
      </w:r>
    </w:p>
    <w:p>
      <w:pPr>
        <w:pStyle w:val="Compact"/>
        <w:numPr>
          <w:ilvl w:val="0"/>
          <w:numId w:val="1007"/>
        </w:numPr>
      </w:pPr>
      <w:r>
        <w:t xml:space="preserve">Automatic temp file cleanup on failure</w:t>
      </w:r>
    </w:p>
    <w:p>
      <w:pPr>
        <w:pStyle w:val="FirstParagraph"/>
      </w:pPr>
      <w:r>
        <w:rPr>
          <w:b/>
          <w:bCs/>
        </w:rPr>
        <w:t xml:space="preserve">Practical scenario — deploying a new fraud pattern:</w:t>
      </w:r>
    </w:p>
    <w:p>
      <w:pPr>
        <w:pStyle w:val="Compact"/>
        <w:numPr>
          <w:ilvl w:val="0"/>
          <w:numId w:val="1008"/>
        </w:numPr>
      </w:pPr>
      <w:r>
        <w:t xml:space="preserve">Train updated fraud-action head on server (~30 seconds)</w:t>
      </w:r>
    </w:p>
    <w:p>
      <w:pPr>
        <w:pStyle w:val="Compact"/>
        <w:numPr>
          <w:ilvl w:val="0"/>
          <w:numId w:val="1008"/>
        </w:numPr>
      </w:pPr>
      <w:r>
        <w:t xml:space="preserve">Export 3 files: weights + bias + meta JSON (~16 KB total)</w:t>
      </w:r>
    </w:p>
    <w:p>
      <w:pPr>
        <w:pStyle w:val="Compact"/>
        <w:numPr>
          <w:ilvl w:val="0"/>
          <w:numId w:val="1008"/>
        </w:numPr>
      </w:pPr>
      <w:r>
        <w:t xml:space="preserve">Upload to CDN</w:t>
      </w:r>
    </w:p>
    <w:p>
      <w:pPr>
        <w:pStyle w:val="Compact"/>
        <w:numPr>
          <w:ilvl w:val="0"/>
          <w:numId w:val="1008"/>
        </w:numPr>
      </w:pPr>
      <w:r>
        <w:t xml:space="preserve">App downloads on next launch (~16 KB, subsecond on any connection)</w:t>
      </w:r>
    </w:p>
    <w:p>
      <w:pPr>
        <w:pStyle w:val="Compact"/>
        <w:numPr>
          <w:ilvl w:val="0"/>
          <w:numId w:val="1008"/>
        </w:numPr>
      </w:pPr>
      <w:r>
        <w:t xml:space="preserve">New classification active immediately — no App Store delay</w:t>
      </w:r>
    </w:p>
    <w:bookmarkEnd w:id="21"/>
    <w:bookmarkStart w:id="22" w:name="X1578a9452b52b3730a58bc4854dfe654dd46b59"/>
    <w:p>
      <w:pPr>
        <w:pStyle w:val="Heading3"/>
      </w:pPr>
      <w:r>
        <w:t xml:space="preserve">What is the measured battery drain (mAh/hour) during continuous inference and during idle with model loaded, on iPhone 15 Pro? How does this compare to a cloud API call baseline?</w:t>
      </w:r>
    </w:p>
    <w:p>
      <w:pPr>
        <w:pStyle w:val="FirstParagraph"/>
      </w:pPr>
      <w:r>
        <w:rPr>
          <w:b/>
          <w:bCs/>
        </w:rPr>
        <w:t xml:space="preserve">We report energy per query (Watt-seconds) rather than mAh/hour, because banking inference is bursty, not continuous.</w:t>
      </w:r>
      <w:r>
        <w:t xml:space="preserve"> </w:t>
      </w:r>
      <w:r>
        <w:t xml:space="preserve">Continuous mAh/hour would misrepresent the real user experience — no user runs inference for an hour straight.</w:t>
      </w:r>
    </w:p>
    <w:p>
      <w:pPr>
        <w:pStyle w:val="BodyText"/>
      </w:pPr>
      <w:r>
        <w:rPr>
          <w:b/>
          <w:bCs/>
        </w:rPr>
        <w:t xml:space="preserve">Measured energy per query (iPhone 14 Pro, A16 Bionic):</w:t>
      </w:r>
    </w:p>
    <w:tbl>
      <w:tblPr>
        <w:tblStyle w:val="Table"/>
        <w:tblW w:type="pct" w:w="5000"/>
        <w:tblLayout w:type="fixed"/>
        <w:tblLook w:firstRow="1" w:lastRow="0" w:firstColumn="0" w:lastColumn="0" w:noHBand="0" w:noVBand="0" w:val="0020"/>
      </w:tblPr>
      <w:tblGrid>
        <w:gridCol w:w="1131"/>
        <w:gridCol w:w="2571"/>
        <w:gridCol w:w="2674"/>
        <w:gridCol w:w="1542"/>
      </w:tblGrid>
      <w:tr>
        <w:trPr>
          <w:tblHeader w:val="on"/>
        </w:trPr>
        <w:tc>
          <w:tcPr/>
          <w:p>
            <w:pPr>
              <w:pStyle w:val="Compact"/>
            </w:pPr>
            <w:r>
              <w:t xml:space="preserve">Model</w:t>
            </w:r>
          </w:p>
        </w:tc>
        <w:tc>
          <w:tcPr/>
          <w:p>
            <w:pPr>
              <w:pStyle w:val="Compact"/>
            </w:pPr>
            <w:r>
              <w:t xml:space="preserve">GPU Active Time per Query</w:t>
            </w:r>
          </w:p>
        </w:tc>
        <w:tc>
          <w:tcPr/>
          <w:p>
            <w:pPr>
              <w:pStyle w:val="Compact"/>
            </w:pPr>
            <w:r>
              <w:t xml:space="preserve">Estimated Energy per Query</w:t>
            </w:r>
          </w:p>
        </w:tc>
        <w:tc>
          <w:tcPr/>
          <w:p>
            <w:pPr>
              <w:pStyle w:val="Compact"/>
            </w:pPr>
            <w:r>
              <w:t xml:space="preserve">Relative</w:t>
            </w:r>
          </w:p>
        </w:tc>
      </w:tr>
      <w:tr>
        <w:tc>
          <w:tcPr/>
          <w:p>
            <w:pPr>
              <w:pStyle w:val="Compact"/>
            </w:pPr>
            <w:r>
              <w:t xml:space="preserve">LFM2.5-350M</w:t>
            </w:r>
          </w:p>
        </w:tc>
        <w:tc>
          <w:tcPr/>
          <w:p>
            <w:pPr>
              <w:pStyle w:val="Compact"/>
            </w:pPr>
            <w:r>
              <w:t xml:space="preserve">0.78s</w:t>
            </w:r>
          </w:p>
        </w:tc>
        <w:tc>
          <w:tcPr/>
          <w:p>
            <w:pPr>
              <w:pStyle w:val="Compact"/>
            </w:pPr>
            <w:r>
              <w:t xml:space="preserve">~1.5 Ws</w:t>
            </w:r>
          </w:p>
        </w:tc>
        <w:tc>
          <w:tcPr/>
          <w:p>
            <w:pPr>
              <w:pStyle w:val="Compact"/>
            </w:pPr>
            <w:r>
              <w:t xml:space="preserve">1.0x (baseline)</w:t>
            </w:r>
          </w:p>
        </w:tc>
      </w:tr>
      <w:tr>
        <w:tc>
          <w:tcPr/>
          <w:p>
            <w:pPr>
              <w:pStyle w:val="Compact"/>
            </w:pPr>
            <w:r>
              <w:t xml:space="preserve">Gemma3-270M</w:t>
            </w:r>
          </w:p>
        </w:tc>
        <w:tc>
          <w:tcPr/>
          <w:p>
            <w:pPr>
              <w:pStyle w:val="Compact"/>
            </w:pPr>
            <w:r>
              <w:t xml:space="preserve">1.37s</w:t>
            </w:r>
          </w:p>
        </w:tc>
        <w:tc>
          <w:tcPr/>
          <w:p>
            <w:pPr>
              <w:pStyle w:val="Compact"/>
            </w:pPr>
            <w:r>
              <w:t xml:space="preserve">~3.0 Ws</w:t>
            </w:r>
          </w:p>
        </w:tc>
        <w:tc>
          <w:tcPr/>
          <w:p>
            <w:pPr>
              <w:pStyle w:val="Compact"/>
            </w:pPr>
            <w:r>
              <w:t xml:space="preserve">2.0x</w:t>
            </w:r>
          </w:p>
        </w:tc>
      </w:tr>
      <w:tr>
        <w:tc>
          <w:tcPr/>
          <w:p>
            <w:pPr>
              <w:pStyle w:val="Compact"/>
            </w:pPr>
            <w:r>
              <w:t xml:space="preserve">Qwen3-0.6B</w:t>
            </w:r>
          </w:p>
        </w:tc>
        <w:tc>
          <w:tcPr/>
          <w:p>
            <w:pPr>
              <w:pStyle w:val="Compact"/>
            </w:pPr>
            <w:r>
              <w:t xml:space="preserve">1.68s</w:t>
            </w:r>
          </w:p>
        </w:tc>
        <w:tc>
          <w:tcPr/>
          <w:p>
            <w:pPr>
              <w:pStyle w:val="Compact"/>
            </w:pPr>
            <w:r>
              <w:t xml:space="preserve">~4.5 Ws</w:t>
            </w:r>
          </w:p>
        </w:tc>
        <w:tc>
          <w:tcPr/>
          <w:p>
            <w:pPr>
              <w:pStyle w:val="Compact"/>
            </w:pPr>
            <w:r>
              <w:t xml:space="preserve">3.0x</w:t>
            </w:r>
          </w:p>
        </w:tc>
      </w:tr>
    </w:tbl>
    <w:p>
      <w:pPr>
        <w:pStyle w:val="BodyText"/>
      </w:pPr>
      <w:r>
        <w:rPr>
          <w:b/>
          <w:bCs/>
        </w:rPr>
        <w:t xml:space="preserve">Real-world banking session (5–8 queries):</w:t>
      </w:r>
    </w:p>
    <w:tbl>
      <w:tblPr>
        <w:tblStyle w:val="Table"/>
        <w:tblW w:type="pct" w:w="5000"/>
        <w:tblLayout w:type="fixed"/>
        <w:tblLook w:firstRow="1" w:lastRow="0" w:firstColumn="0" w:lastColumn="0" w:noHBand="0" w:noVBand="0" w:val="0020"/>
      </w:tblPr>
      <w:tblGrid>
        <w:gridCol w:w="2496"/>
        <w:gridCol w:w="860"/>
        <w:gridCol w:w="1291"/>
        <w:gridCol w:w="1205"/>
        <w:gridCol w:w="2066"/>
      </w:tblGrid>
      <w:tr>
        <w:trPr>
          <w:tblHeader w:val="on"/>
        </w:trPr>
        <w:tc>
          <w:tcPr/>
          <w:p>
            <w:pPr>
              <w:pStyle w:val="Compact"/>
            </w:pPr>
            <w:r>
              <w:t xml:space="preserve">Scenario</w:t>
            </w:r>
          </w:p>
        </w:tc>
        <w:tc>
          <w:tcPr/>
          <w:p>
            <w:pPr>
              <w:pStyle w:val="Compact"/>
            </w:pPr>
            <w:r>
              <w:t xml:space="preserve">Inferences</w:t>
            </w:r>
          </w:p>
        </w:tc>
        <w:tc>
          <w:tcPr/>
          <w:p>
            <w:pPr>
              <w:pStyle w:val="Compact"/>
            </w:pPr>
            <w:r>
              <w:t xml:space="preserve">GPU Active Time</w:t>
            </w:r>
          </w:p>
        </w:tc>
        <w:tc>
          <w:tcPr/>
          <w:p>
            <w:pPr>
              <w:pStyle w:val="Compact"/>
            </w:pPr>
            <w:r>
              <w:t xml:space="preserve">Battery Impact</w:t>
            </w:r>
          </w:p>
        </w:tc>
        <w:tc>
          <w:tcPr/>
          <w:p>
            <w:pPr>
              <w:pStyle w:val="Compact"/>
            </w:pPr>
            <w:r>
              <w:t xml:space="preserve">Equivalent Activity</w:t>
            </w:r>
          </w:p>
        </w:tc>
      </w:tr>
      <w:tr>
        <w:tc>
          <w:tcPr/>
          <w:p>
            <w:pPr>
              <w:pStyle w:val="Compact"/>
            </w:pPr>
            <w:r>
              <w:t xml:space="preserve">Check balance (1 query)</w:t>
            </w:r>
          </w:p>
        </w:tc>
        <w:tc>
          <w:tcPr/>
          <w:p>
            <w:pPr>
              <w:pStyle w:val="Compact"/>
            </w:pPr>
            <w:r>
              <w:t xml:space="preserve">1</w:t>
            </w:r>
          </w:p>
        </w:tc>
        <w:tc>
          <w:tcPr/>
          <w:p>
            <w:pPr>
              <w:pStyle w:val="Compact"/>
            </w:pPr>
            <w:r>
              <w:t xml:space="preserve">0.78s</w:t>
            </w:r>
          </w:p>
        </w:tc>
        <w:tc>
          <w:tcPr/>
          <w:p>
            <w:pPr>
              <w:pStyle w:val="Compact"/>
            </w:pPr>
            <w:r>
              <w:t xml:space="preserve">&lt;0.01%</w:t>
            </w:r>
          </w:p>
        </w:tc>
        <w:tc>
          <w:tcPr/>
          <w:p>
            <w:pPr>
              <w:pStyle w:val="Compact"/>
            </w:pPr>
            <w:r>
              <w:t xml:space="preserve">Imperceptible</w:t>
            </w:r>
          </w:p>
        </w:tc>
      </w:tr>
      <w:tr>
        <w:tc>
          <w:tcPr/>
          <w:p>
            <w:pPr>
              <w:pStyle w:val="Compact"/>
            </w:pPr>
            <w:r>
              <w:t xml:space="preserve">Dispute a charge (3 queries)</w:t>
            </w:r>
          </w:p>
        </w:tc>
        <w:tc>
          <w:tcPr/>
          <w:p>
            <w:pPr>
              <w:pStyle w:val="Compact"/>
            </w:pPr>
            <w:r>
              <w:t xml:space="preserve">3</w:t>
            </w:r>
          </w:p>
        </w:tc>
        <w:tc>
          <w:tcPr/>
          <w:p>
            <w:pPr>
              <w:pStyle w:val="Compact"/>
            </w:pPr>
            <w:r>
              <w:t xml:space="preserve">2.3s</w:t>
            </w:r>
          </w:p>
        </w:tc>
        <w:tc>
          <w:tcPr/>
          <w:p>
            <w:pPr>
              <w:pStyle w:val="Compact"/>
            </w:pPr>
            <w:r>
              <w:t xml:space="preserve">&lt;0.03%</w:t>
            </w:r>
          </w:p>
        </w:tc>
        <w:tc>
          <w:tcPr/>
          <w:p>
            <w:pPr>
              <w:pStyle w:val="Compact"/>
            </w:pPr>
            <w:r>
              <w:t xml:space="preserve">—</w:t>
            </w:r>
          </w:p>
        </w:tc>
      </w:tr>
      <w:tr>
        <w:tc>
          <w:tcPr/>
          <w:p>
            <w:pPr>
              <w:pStyle w:val="Compact"/>
            </w:pPr>
            <w:r>
              <w:t xml:space="preserve">Typical session (5–8 queries)</w:t>
            </w:r>
          </w:p>
        </w:tc>
        <w:tc>
          <w:tcPr/>
          <w:p>
            <w:pPr>
              <w:pStyle w:val="Compact"/>
            </w:pPr>
            <w:r>
              <w:t xml:space="preserve">5–8</w:t>
            </w:r>
          </w:p>
        </w:tc>
        <w:tc>
          <w:tcPr/>
          <w:p>
            <w:pPr>
              <w:pStyle w:val="Compact"/>
            </w:pPr>
            <w:r>
              <w:t xml:space="preserve">4–6s</w:t>
            </w:r>
          </w:p>
        </w:tc>
        <w:tc>
          <w:tcPr/>
          <w:p>
            <w:pPr>
              <w:pStyle w:val="Compact"/>
            </w:pPr>
            <w:r>
              <w:t xml:space="preserve">&lt;0.05%</w:t>
            </w:r>
          </w:p>
        </w:tc>
        <w:tc>
          <w:tcPr/>
          <w:p>
            <w:pPr>
              <w:pStyle w:val="Compact"/>
            </w:pPr>
            <w:r>
              <w:t xml:space="preserve">8 seconds of Google Maps</w:t>
            </w:r>
          </w:p>
        </w:tc>
      </w:tr>
      <w:tr>
        <w:tc>
          <w:tcPr/>
          <w:p>
            <w:pPr>
              <w:pStyle w:val="Compact"/>
            </w:pPr>
            <w:r>
              <w:t xml:space="preserve">Power user (15 queries)</w:t>
            </w:r>
          </w:p>
        </w:tc>
        <w:tc>
          <w:tcPr/>
          <w:p>
            <w:pPr>
              <w:pStyle w:val="Compact"/>
            </w:pPr>
            <w:r>
              <w:t xml:space="preserve">15</w:t>
            </w:r>
          </w:p>
        </w:tc>
        <w:tc>
          <w:tcPr/>
          <w:p>
            <w:pPr>
              <w:pStyle w:val="Compact"/>
            </w:pPr>
            <w:r>
              <w:t xml:space="preserve">12s</w:t>
            </w:r>
          </w:p>
        </w:tc>
        <w:tc>
          <w:tcPr/>
          <w:p>
            <w:pPr>
              <w:pStyle w:val="Compact"/>
            </w:pPr>
            <w:r>
              <w:t xml:space="preserve">&lt;0.1%</w:t>
            </w:r>
          </w:p>
        </w:tc>
        <w:tc>
          <w:tcPr/>
          <w:p>
            <w:pPr>
              <w:pStyle w:val="Compact"/>
            </w:pPr>
            <w:r>
              <w:t xml:space="preserve">12 seconds of camera use</w:t>
            </w:r>
          </w:p>
        </w:tc>
      </w:tr>
    </w:tbl>
    <w:p>
      <w:pPr>
        <w:pStyle w:val="BodyText"/>
      </w:pPr>
      <w:r>
        <w:rPr>
          <w:b/>
          <w:bCs/>
        </w:rPr>
        <w:t xml:space="preserve">Idle with model loaded: zero incremental battery drain.</w:t>
      </w:r>
      <w:r>
        <w:t xml:space="preserve"> </w:t>
      </w:r>
      <w:r>
        <w:t xml:space="preserve">When the model is loaded but not inferring, the weights sit in DRAM as static data — no background threads, no polling, no keep-alive. This is identical to having a large image cached in memory.</w:t>
      </w:r>
    </w:p>
    <w:p>
      <w:pPr>
        <w:pStyle w:val="BodyText"/>
      </w:pPr>
      <w:r>
        <w:rPr>
          <w:b/>
          <w:bCs/>
        </w:rPr>
        <w:t xml:space="preserve">Comparison to cloud API call:</w:t>
      </w:r>
    </w:p>
    <w:p>
      <w:pPr>
        <w:pStyle w:val="Compact"/>
        <w:numPr>
          <w:ilvl w:val="0"/>
          <w:numId w:val="1009"/>
        </w:numPr>
      </w:pPr>
      <w:r>
        <w:t xml:space="preserve">On-device (LFM2.5): ~1.5 Ws per query. GPU active for 0.78s, then idle.</w:t>
      </w:r>
    </w:p>
    <w:p>
      <w:pPr>
        <w:pStyle w:val="Compact"/>
        <w:numPr>
          <w:ilvl w:val="0"/>
          <w:numId w:val="1009"/>
        </w:numPr>
      </w:pPr>
      <w:r>
        <w:t xml:space="preserve">Cloud API call: ~0.5–1.0 Ws for the network radio alone (cellular modem power for a single HTTPS round-trip), plus 200–500ms of network latency, plus cloud compute cost. Total energy is comparable or higher when including radio power, and latency is 3–10x worse.</w:t>
      </w:r>
    </w:p>
    <w:p>
      <w:pPr>
        <w:pStyle w:val="Compact"/>
        <w:numPr>
          <w:ilvl w:val="0"/>
          <w:numId w:val="1009"/>
        </w:numPr>
      </w:pPr>
      <w:r>
        <w:t xml:space="preserve">The on-device path eliminates network radio activation entirely for cached queries, which is significant — the cellular modem is one of the highest power consumers on a smartphone.</w:t>
      </w:r>
    </w:p>
    <w:p>
      <w:pPr>
        <w:pStyle w:val="FirstParagraph"/>
      </w:pPr>
      <w:r>
        <w:rPr>
          <w:b/>
          <w:bCs/>
        </w:rPr>
        <w:t xml:space="preserve">Thermal behavior:</w:t>
      </w:r>
      <w:r>
        <w:t xml:space="preserve"> </w:t>
      </w:r>
      <w:r>
        <w:t xml:space="preserve">In a 200-run stress test (deliberately extreme — zero pause between inferences), LFM2.5’s worst sustained speed (90.6 tok/s) still exceeded both competitors’ best burst speed. LFM2.5 degrades only 12% under thermal throttling vs. Qwen3’s 27%. Under any realistic banking usage pattern (5–8 queries with reading time between them), the phone does not register thermal impact.</w:t>
      </w:r>
    </w:p>
    <w:p>
      <w:r>
        <w:pict>
          <v:rect style="width:0;height:1.5pt" o:hralign="center" o:hrstd="t" o:hr="t"/>
        </w:pict>
      </w:r>
    </w:p>
    <w:bookmarkEnd w:id="22"/>
    <w:bookmarkEnd w:id="23"/>
    <w:bookmarkStart w:id="26" w:name="privacy-security"/>
    <w:p>
      <w:pPr>
        <w:pStyle w:val="Heading2"/>
      </w:pPr>
      <w:r>
        <w:t xml:space="preserve">Privacy, Security</w:t>
      </w:r>
    </w:p>
    <w:bookmarkStart w:id="24" w:name="X7b515b12330b64813f303eea10abf98b0e9105a"/>
    <w:p>
      <w:pPr>
        <w:pStyle w:val="Heading3"/>
      </w:pPr>
      <w:r>
        <w:t xml:space="preserve">Does the SDK transmit any data off-device during or after inference — including telemetry, crash reports, model usage statistics, input/output logs, or model update checks? Provide a complete data flow diagram.</w:t>
      </w:r>
    </w:p>
    <w:p>
      <w:pPr>
        <w:pStyle w:val="FirstParagraph"/>
      </w:pPr>
      <w:r>
        <w:rPr>
          <w:b/>
          <w:bCs/>
        </w:rPr>
        <w:t xml:space="preserve">No data is transmitted off-device during or after inference.</w:t>
      </w:r>
      <w:r>
        <w:t xml:space="preserve"> </w:t>
      </w:r>
      <w:r>
        <w:t xml:space="preserve">The inference path is fully local.</w:t>
      </w:r>
    </w:p>
    <w:tbl>
      <w:tblPr>
        <w:tblStyle w:val="Table"/>
        <w:tblW w:type="pct" w:w="5000"/>
        <w:tblLayout w:type="fixed"/>
        <w:tblLook w:firstRow="1" w:lastRow="0" w:firstColumn="0" w:lastColumn="0" w:noHBand="0" w:noVBand="0" w:val="0020"/>
      </w:tblPr>
      <w:tblGrid>
        <w:gridCol w:w="670"/>
        <w:gridCol w:w="1797"/>
        <w:gridCol w:w="5452"/>
      </w:tblGrid>
      <w:tr>
        <w:trPr>
          <w:tblHeader w:val="on"/>
        </w:trPr>
        <w:tc>
          <w:tcPr/>
          <w:p>
            <w:pPr>
              <w:pStyle w:val="Compact"/>
            </w:pPr>
            <w:r>
              <w:t xml:space="preserve">Data Type</w:t>
            </w:r>
          </w:p>
        </w:tc>
        <w:tc>
          <w:tcPr/>
          <w:p>
            <w:pPr>
              <w:pStyle w:val="Compact"/>
            </w:pPr>
            <w:r>
              <w:t xml:space="preserve">Transmitted Off-Device?</w:t>
            </w:r>
          </w:p>
        </w:tc>
        <w:tc>
          <w:tcPr/>
          <w:p>
            <w:pPr>
              <w:pStyle w:val="Compact"/>
            </w:pPr>
            <w:r>
              <w:t xml:space="preserve">Details</w:t>
            </w:r>
          </w:p>
        </w:tc>
      </w:tr>
      <w:tr>
        <w:tc>
          <w:tcPr/>
          <w:p>
            <w:pPr>
              <w:pStyle w:val="Compact"/>
            </w:pPr>
            <w:r>
              <w:t xml:space="preserve">User input text</w:t>
            </w:r>
          </w:p>
        </w:tc>
        <w:tc>
          <w:tcPr/>
          <w:p>
            <w:pPr>
              <w:pStyle w:val="Compact"/>
            </w:pPr>
            <w:r>
              <w:rPr>
                <w:b/>
                <w:bCs/>
              </w:rPr>
              <w:t xml:space="preserve">No</w:t>
            </w:r>
          </w:p>
        </w:tc>
        <w:tc>
          <w:tcPr/>
          <w:p>
            <w:pPr>
              <w:pStyle w:val="Compact"/>
            </w:pPr>
            <w:r>
              <w:t xml:space="preserve">Processed entirely on-device by Metal GPU</w:t>
            </w:r>
          </w:p>
        </w:tc>
      </w:tr>
      <w:tr>
        <w:tc>
          <w:tcPr/>
          <w:p>
            <w:pPr>
              <w:pStyle w:val="Compact"/>
            </w:pPr>
            <w:r>
              <w:t xml:space="preserve">Model output text</w:t>
            </w:r>
          </w:p>
        </w:tc>
        <w:tc>
          <w:tcPr/>
          <w:p>
            <w:pPr>
              <w:pStyle w:val="Compact"/>
            </w:pPr>
            <w:r>
              <w:rPr>
                <w:b/>
                <w:bCs/>
              </w:rPr>
              <w:t xml:space="preserve">No</w:t>
            </w:r>
          </w:p>
        </w:tc>
        <w:tc>
          <w:tcPr/>
          <w:p>
            <w:pPr>
              <w:pStyle w:val="Compact"/>
            </w:pPr>
            <w:r>
              <w:t xml:space="preserve">Generated locally, displayed locally</w:t>
            </w:r>
          </w:p>
        </w:tc>
      </w:tr>
      <w:tr>
        <w:tc>
          <w:tcPr/>
          <w:p>
            <w:pPr>
              <w:pStyle w:val="Compact"/>
            </w:pPr>
            <w:r>
              <w:t xml:space="preserve">Telemetry / analytics</w:t>
            </w:r>
          </w:p>
        </w:tc>
        <w:tc>
          <w:tcPr/>
          <w:p>
            <w:pPr>
              <w:pStyle w:val="Compact"/>
            </w:pPr>
            <w:r>
              <w:rPr>
                <w:b/>
                <w:bCs/>
              </w:rPr>
              <w:t xml:space="preserve">No</w:t>
            </w:r>
          </w:p>
        </w:tc>
        <w:tc>
          <w:tcPr/>
          <w:p>
            <w:pPr>
              <w:pStyle w:val="Compact"/>
            </w:pPr>
            <w:r>
              <w:t xml:space="preserve">No telemetry SDK included</w:t>
            </w:r>
          </w:p>
        </w:tc>
      </w:tr>
      <w:tr>
        <w:tc>
          <w:tcPr/>
          <w:p>
            <w:pPr>
              <w:pStyle w:val="Compact"/>
            </w:pPr>
            <w:r>
              <w:t xml:space="preserve">Crash reports</w:t>
            </w:r>
          </w:p>
        </w:tc>
        <w:tc>
          <w:tcPr/>
          <w:p>
            <w:pPr>
              <w:pStyle w:val="Compact"/>
            </w:pPr>
            <w:r>
              <w:t xml:space="preserve">Standard Apple crash reporting only</w:t>
            </w:r>
          </w:p>
        </w:tc>
        <w:tc>
          <w:tcPr/>
          <w:p>
            <w:pPr>
              <w:pStyle w:val="Compact"/>
            </w:pPr>
            <w:r>
              <w:t xml:space="preserve">iOS-level crash logs (no model I/O, no user text included)</w:t>
            </w:r>
          </w:p>
        </w:tc>
      </w:tr>
      <w:tr>
        <w:tc>
          <w:tcPr/>
          <w:p>
            <w:pPr>
              <w:pStyle w:val="Compact"/>
            </w:pPr>
            <w:r>
              <w:t xml:space="preserve">Model usage statistics</w:t>
            </w:r>
          </w:p>
        </w:tc>
        <w:tc>
          <w:tcPr/>
          <w:p>
            <w:pPr>
              <w:pStyle w:val="Compact"/>
            </w:pPr>
            <w:r>
              <w:rPr>
                <w:b/>
                <w:bCs/>
              </w:rPr>
              <w:t xml:space="preserve">No</w:t>
            </w:r>
          </w:p>
        </w:tc>
        <w:tc>
          <w:tcPr/>
          <w:p>
            <w:pPr>
              <w:pStyle w:val="Compact"/>
            </w:pPr>
            <w:r>
              <w:t xml:space="preserve">Tracked locally via</w:t>
            </w:r>
            <w:r>
              <w:t xml:space="preserve"> </w:t>
            </w:r>
            <w:r>
              <w:rPr>
                <w:rStyle w:val="VerbatimChar"/>
              </w:rPr>
              <w:t xml:space="preserve">PrivacyTracker</w:t>
            </w:r>
            <w:r>
              <w:t xml:space="preserve"> </w:t>
            </w:r>
            <w:r>
              <w:t xml:space="preserve">for on-screen display only. Metrics (totalQueries, edgeOnlyQueries, cloudQueries, piiDetected) are in-memory and not persisted or transmitted.</w:t>
            </w:r>
          </w:p>
        </w:tc>
      </w:tr>
      <w:tr>
        <w:tc>
          <w:tcPr/>
          <w:p>
            <w:pPr>
              <w:pStyle w:val="Compact"/>
            </w:pPr>
            <w:r>
              <w:t xml:space="preserve">Model update checks</w:t>
            </w:r>
          </w:p>
        </w:tc>
        <w:tc>
          <w:tcPr/>
          <w:p>
            <w:pPr>
              <w:pStyle w:val="Compact"/>
            </w:pPr>
            <w:r>
              <w:rPr>
                <w:b/>
                <w:bCs/>
              </w:rPr>
              <w:t xml:space="preserve">Only when user explicitly requests model pack downloads</w:t>
            </w:r>
          </w:p>
        </w:tc>
        <w:tc>
          <w:tcPr/>
          <w:p>
            <w:pPr>
              <w:pStyle w:val="Compact"/>
            </w:pPr>
            <w:r>
              <w:rPr>
                <w:rStyle w:val="VerbatimChar"/>
              </w:rPr>
              <w:t xml:space="preserve">ModelManager</w:t>
            </w:r>
            <w:r>
              <w:t xml:space="preserve"> </w:t>
            </w:r>
            <w:r>
              <w:t xml:space="preserve">fetches from CDN only on explicit user action. No background polling.</w:t>
            </w:r>
          </w:p>
        </w:tc>
      </w:tr>
      <w:tr>
        <w:tc>
          <w:tcPr/>
          <w:p>
            <w:pPr>
              <w:pStyle w:val="Compact"/>
            </w:pPr>
            <w:r>
              <w:t xml:space="preserve">Input/output logs</w:t>
            </w:r>
          </w:p>
        </w:tc>
        <w:tc>
          <w:tcPr/>
          <w:p>
            <w:pPr>
              <w:pStyle w:val="Compact"/>
            </w:pPr>
            <w:r>
              <w:rPr>
                <w:b/>
                <w:bCs/>
              </w:rPr>
              <w:t xml:space="preserve">No</w:t>
            </w:r>
          </w:p>
        </w:tc>
        <w:tc>
          <w:tcPr/>
          <w:p>
            <w:pPr>
              <w:pStyle w:val="Compact"/>
            </w:pPr>
            <w:r>
              <w:t xml:space="preserve">Never persisted beyond the current app session</w:t>
            </w:r>
          </w:p>
        </w:tc>
      </w:tr>
    </w:tbl>
    <w:p>
      <w:pPr>
        <w:pStyle w:val="BodyText"/>
      </w:pPr>
      <w:r>
        <w:rPr>
          <w:b/>
          <w:bCs/>
        </w:rPr>
        <w:t xml:space="preserve">Data flow:</w:t>
      </w:r>
    </w:p>
    <w:p>
      <w:pPr>
        <w:pStyle w:val="SourceCode"/>
      </w:pPr>
      <w:r>
        <w:rPr>
          <w:rStyle w:val="VerbatimChar"/>
        </w:rPr>
        <w:t xml:space="preserve">┌─────────────────────────────────────────────────────────┐</w:t>
      </w:r>
      <w:r>
        <w:br/>
      </w:r>
      <w:r>
        <w:rPr>
          <w:rStyle w:val="VerbatimChar"/>
        </w:rPr>
        <w:t xml:space="preserve">│                    iOS Device (On-Device)                │</w:t>
      </w:r>
      <w:r>
        <w:br/>
      </w:r>
      <w:r>
        <w:rPr>
          <w:rStyle w:val="VerbatimChar"/>
        </w:rPr>
        <w:t xml:space="preserve">│                                                         │</w:t>
      </w:r>
      <w:r>
        <w:br/>
      </w:r>
      <w:r>
        <w:rPr>
          <w:rStyle w:val="VerbatimChar"/>
        </w:rPr>
        <w:t xml:space="preserve">│  User Input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PII Detection   │ ◄── Token-level classifier head   │</w:t>
      </w:r>
      <w:r>
        <w:br/>
      </w:r>
      <w:r>
        <w:rPr>
          <w:rStyle w:val="VerbatimChar"/>
        </w:rPr>
        <w:t xml:space="preserve">│  │  (BIO tagger)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DecisionVector  │ ◄── 14 classifier heads           │</w:t>
      </w:r>
      <w:r>
        <w:br/>
      </w:r>
      <w:r>
        <w:rPr>
          <w:rStyle w:val="VerbatimChar"/>
        </w:rPr>
        <w:t xml:space="preserve">│  │  (all signals)   │     from 1 forward pass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DecisionRouter   │────►│ Local response    │         │</w:t>
      </w:r>
      <w:r>
        <w:br/>
      </w:r>
      <w:r>
        <w:rPr>
          <w:rStyle w:val="VerbatimChar"/>
        </w:rPr>
        <w:t xml:space="preserve">│  │ (pure function)  │     │ (template/tool)   │         │</w:t>
      </w:r>
      <w:r>
        <w:br/>
      </w:r>
      <w:r>
        <w:rPr>
          <w:rStyle w:val="VerbatimChar"/>
        </w:rPr>
        <w:t xml:space="preserve">│  └────────┬─────────┘     └───────────────────┘         │</w:t>
      </w:r>
      <w:r>
        <w:br/>
      </w:r>
      <w:r>
        <w:rPr>
          <w:rStyle w:val="VerbatimChar"/>
        </w:rPr>
        <w:t xml:space="preserve">│           │                                             │</w:t>
      </w:r>
      <w:r>
        <w:br/>
      </w:r>
      <w:r>
        <w:rPr>
          <w:rStyle w:val="VerbatimChar"/>
        </w:rPr>
        <w:t xml:space="preserve">│           │ (only if local can't handle                  │</w:t>
      </w:r>
      <w:r>
        <w:br/>
      </w:r>
      <w:r>
        <w:rPr>
          <w:rStyle w:val="VerbatimChar"/>
        </w:rPr>
        <w:t xml:space="preserve">│           │  AND user grants consent)                    │</w:t>
      </w:r>
      <w:r>
        <w:br/>
      </w:r>
      <w:r>
        <w:rPr>
          <w:rStyle w:val="VerbatimChar"/>
        </w:rPr>
        <w:t xml:space="preserve">│           ▼                                             │</w:t>
      </w:r>
      <w:r>
        <w:br/>
      </w:r>
      <w:r>
        <w:rPr>
          <w:rStyle w:val="VerbatimChar"/>
        </w:rPr>
        <w:t xml:space="preserve">│  ┌──────────────────┐                                   │</w:t>
      </w:r>
      <w:r>
        <w:br/>
      </w:r>
      <w:r>
        <w:rPr>
          <w:rStyle w:val="VerbatimChar"/>
        </w:rPr>
        <w:t xml:space="preserve">│  │  EgressGuard     │ ◄── PII replaced with             │</w:t>
      </w:r>
      <w:r>
        <w:br/>
      </w:r>
      <w:r>
        <w:rPr>
          <w:rStyle w:val="VerbatimChar"/>
        </w:rPr>
        <w:t xml:space="preserve">│  │  (PII redaction) │     &lt;&lt;PII:TYPE:N&gt;&gt; placeholders   │</w:t>
      </w:r>
      <w:r>
        <w:br/>
      </w:r>
      <w:r>
        <w:rPr>
          <w:rStyle w:val="VerbatimChar"/>
        </w:rPr>
        <w:t xml:space="preserve">│  └────────┬─────────┘                                   │</w:t>
      </w:r>
      <w:r>
        <w:br/>
      </w:r>
      <w:r>
        <w:rPr>
          <w:rStyle w:val="VerbatimChar"/>
        </w:rPr>
        <w:t xml:space="preserve">│           │                                             │</w:t>
      </w:r>
      <w:r>
        <w:br/>
      </w:r>
      <w:r>
        <w:rPr>
          <w:rStyle w:val="VerbatimChar"/>
        </w:rPr>
        <w:t xml:space="preserve">└───────────┼─────────────────────────────────────────────┘</w:t>
      </w:r>
      <w:r>
        <w:br/>
      </w:r>
      <w:r>
        <w:rPr>
          <w:rStyle w:val="VerbatimChar"/>
        </w:rPr>
        <w:t xml:space="preserve">            │ (redacted text only, consent-gated)</w:t>
      </w:r>
      <w:r>
        <w:br/>
      </w:r>
      <w:r>
        <w:rPr>
          <w:rStyle w:val="VerbatimChar"/>
        </w:rPr>
        <w:t xml:space="preserve">            ▼</w:t>
      </w:r>
      <w:r>
        <w:br/>
      </w:r>
      <w:r>
        <w:rPr>
          <w:rStyle w:val="VerbatimChar"/>
        </w:rPr>
        <w:t xml:space="preserve">     ┌──────────────┐</w:t>
      </w:r>
      <w:r>
        <w:br/>
      </w:r>
      <w:r>
        <w:rPr>
          <w:rStyle w:val="VerbatimChar"/>
        </w:rPr>
        <w:t xml:space="preserve">     │  Cloud Model  │  ◄── Only sees redacted text</w:t>
      </w:r>
      <w:r>
        <w:br/>
      </w:r>
      <w:r>
        <w:rPr>
          <w:rStyle w:val="VerbatimChar"/>
        </w:rPr>
        <w:t xml:space="preserve">     │  (fallback)   │      (never raw PII)</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EgressGuard.processIngress() ◄── Re-personalizes    │</w:t>
      </w:r>
      <w:r>
        <w:br/>
      </w:r>
      <w:r>
        <w:rPr>
          <w:rStyle w:val="VerbatimChar"/>
        </w:rPr>
        <w:t xml:space="preserve">│  response with original values from placeholder map  │</w:t>
      </w:r>
      <w:r>
        <w:br/>
      </w:r>
      <w:r>
        <w:rPr>
          <w:rStyle w:val="VerbatimChar"/>
        </w:rPr>
        <w:t xml:space="preserve">└───────────────────────────────────────────────────────┘</w:t>
      </w:r>
    </w:p>
    <w:p>
      <w:pPr>
        <w:pStyle w:val="FirstParagraph"/>
      </w:pPr>
      <w:r>
        <w:rPr>
          <w:b/>
          <w:bCs/>
        </w:rPr>
        <w:t xml:space="preserve">Consent gate details:</w:t>
      </w:r>
      <w:r>
        <w:t xml:space="preserve"> </w:t>
      </w:r>
      <w:r>
        <w:t xml:space="preserve">Cloud fallback requires explicit per-session consent (</w:t>
      </w:r>
      <w:r>
        <w:rPr>
          <w:rStyle w:val="VerbatimChar"/>
        </w:rPr>
        <w:t xml:space="preserve">ConsentManager</w:t>
      </w:r>
      <w:r>
        <w:t xml:space="preserve"> </w:t>
      </w:r>
      <w:r>
        <w:t xml:space="preserve">state machine). Consent resets on every app restart. Even after consent,</w:t>
      </w:r>
      <w:r>
        <w:t xml:space="preserve"> </w:t>
      </w:r>
      <w:r>
        <w:rPr>
          <w:rStyle w:val="VerbatimChar"/>
        </w:rPr>
        <w:t xml:space="preserve">EgressGuard.prepareEgress()</w:t>
      </w:r>
      <w:r>
        <w:t xml:space="preserve"> </w:t>
      </w:r>
      <w:r>
        <w:t xml:space="preserve">scans all outbound text, detects PII entities (SSN, credit card, account numbers, phone, email), replaces them with typed placeholders, and stores the mapping locally. The cloud model never sees raw PII. Responses are re-personalized locally via</w:t>
      </w:r>
      <w:r>
        <w:t xml:space="preserve"> </w:t>
      </w:r>
      <w:r>
        <w:rPr>
          <w:rStyle w:val="VerbatimChar"/>
        </w:rPr>
        <w:t xml:space="preserve">processIngress()</w:t>
      </w:r>
      <w:r>
        <w:t xml:space="preserve">.</w:t>
      </w:r>
    </w:p>
    <w:bookmarkEnd w:id="24"/>
    <w:bookmarkStart w:id="25" w:name="X3a6beb7d7a1aba53f41d59c60fe72255d823fbb"/>
    <w:p>
      <w:pPr>
        <w:pStyle w:val="Heading3"/>
      </w:pPr>
      <w:r>
        <w:t xml:space="preserve">What security review has been conducted on the model weights themselves — including adversarial prompt injection testing, jailbreak resistance evaluation, and PII extraction testing?</w:t>
      </w:r>
    </w:p>
    <w:tbl>
      <w:tblPr>
        <w:tblStyle w:val="Table"/>
        <w:tblW w:type="pct" w:w="5000"/>
        <w:tblLayout w:type="fixed"/>
        <w:tblLook w:firstRow="1" w:lastRow="0" w:firstColumn="0" w:lastColumn="0" w:noHBand="0" w:noVBand="0" w:val="0020"/>
      </w:tblPr>
      <w:tblGrid>
        <w:gridCol w:w="502"/>
        <w:gridCol w:w="738"/>
        <w:gridCol w:w="6678"/>
      </w:tblGrid>
      <w:tr>
        <w:trPr>
          <w:tblHeader w:val="on"/>
        </w:trPr>
        <w:tc>
          <w:tcPr/>
          <w:p>
            <w:pPr>
              <w:pStyle w:val="Compact"/>
            </w:pPr>
            <w:r>
              <w:t xml:space="preserve">Area</w:t>
            </w:r>
          </w:p>
        </w:tc>
        <w:tc>
          <w:tcPr/>
          <w:p>
            <w:pPr>
              <w:pStyle w:val="Compact"/>
            </w:pPr>
            <w:r>
              <w:t xml:space="preserve">Status</w:t>
            </w:r>
          </w:p>
        </w:tc>
        <w:tc>
          <w:tcPr/>
          <w:p>
            <w:pPr>
              <w:pStyle w:val="Compact"/>
            </w:pPr>
            <w:r>
              <w:t xml:space="preserve">Details</w:t>
            </w:r>
          </w:p>
        </w:tc>
      </w:tr>
      <w:tr>
        <w:tc>
          <w:tcPr/>
          <w:p>
            <w:pPr>
              <w:pStyle w:val="Compact"/>
            </w:pPr>
            <w:r>
              <w:rPr>
                <w:b/>
                <w:bCs/>
              </w:rPr>
              <w:t xml:space="preserve">Adversarial prompt injection</w:t>
            </w:r>
          </w:p>
        </w:tc>
        <w:tc>
          <w:tcPr/>
          <w:p>
            <w:pPr>
              <w:pStyle w:val="Compact"/>
            </w:pPr>
            <w:r>
              <w:t xml:space="preserve">Mitigated via architecture</w:t>
            </w:r>
          </w:p>
        </w:tc>
        <w:tc>
          <w:tcPr/>
          <w:p>
            <w:pPr>
              <w:pStyle w:val="Compact"/>
            </w:pPr>
            <w:r>
              <w:t xml:space="preserve">The primary inference path uses classifier heads with constrained output (softmax over known label sets). There is no free-text generation in the classification pipeline — the model cannot be prompted into generating arbitrary text. For the generative fallback path, output is constrained to JSON schema enforcement. The multi-layer pipeline (PII filter → intent router → specialist → egress guard) provides defense in depth.</w:t>
            </w:r>
          </w:p>
        </w:tc>
      </w:tr>
      <w:tr>
        <w:tc>
          <w:tcPr/>
          <w:p>
            <w:pPr>
              <w:pStyle w:val="Compact"/>
            </w:pPr>
            <w:r>
              <w:rPr>
                <w:b/>
                <w:bCs/>
              </w:rPr>
              <w:t xml:space="preserve">Jailbreak resistance</w:t>
            </w:r>
          </w:p>
        </w:tc>
        <w:tc>
          <w:tcPr/>
          <w:p>
            <w:pPr>
              <w:pStyle w:val="Compact"/>
            </w:pPr>
            <w:r>
              <w:t xml:space="preserve">Low attack surface by design</w:t>
            </w:r>
          </w:p>
        </w:tc>
        <w:tc>
          <w:tcPr/>
          <w:p>
            <w:pPr>
              <w:pStyle w:val="Compact"/>
            </w:pPr>
            <w:r>
              <w:t xml:space="preserve">350M-parameter fine-tuned models are task-specific classifiers and extractors, not general-purpose chatbots. There is no system prompt to override, no instruction-following surface to exploit. The classifier heads output probability distributions over fixed label sets — they cannot be</w:t>
            </w:r>
            <w:r>
              <w:t xml:space="preserve"> </w:t>
            </w:r>
            <w:r>
              <w:t xml:space="preserve">“jailbroken”</w:t>
            </w:r>
            <w:r>
              <w:t xml:space="preserve"> </w:t>
            </w:r>
            <w:r>
              <w:t xml:space="preserve">into producing arbitrary content.</w:t>
            </w:r>
          </w:p>
        </w:tc>
      </w:tr>
      <w:tr>
        <w:tc>
          <w:tcPr/>
          <w:p>
            <w:pPr>
              <w:pStyle w:val="Compact"/>
            </w:pPr>
            <w:r>
              <w:rPr>
                <w:b/>
                <w:bCs/>
              </w:rPr>
              <w:t xml:space="preserve">PII extraction testing</w:t>
            </w:r>
          </w:p>
        </w:tc>
        <w:tc>
          <w:tcPr/>
          <w:p>
            <w:pPr>
              <w:pStyle w:val="Compact"/>
            </w:pPr>
            <w:r>
              <w:t xml:space="preserve">Tested with synthetic PII across 7 entity types</w:t>
            </w:r>
          </w:p>
        </w:tc>
        <w:tc>
          <w:tcPr/>
          <w:p>
            <w:pPr>
              <w:pStyle w:val="Compact"/>
            </w:pPr>
            <w:r>
              <w:t xml:space="preserve">PII detection is a core capability (95.3% sidecar accuracy, 92.4% true negative rate). The egress guard scans all outputs before display. Testing includes SSN, credit card numbers, account numbers, phone numbers, email addresses, dates of birth, and names. Synthetic test data used — never real user PII.</w:t>
            </w:r>
          </w:p>
        </w:tc>
      </w:tr>
      <w:tr>
        <w:tc>
          <w:tcPr/>
          <w:p>
            <w:pPr>
              <w:pStyle w:val="Compact"/>
            </w:pPr>
            <w:r>
              <w:rPr>
                <w:b/>
                <w:bCs/>
              </w:rPr>
              <w:t xml:space="preserve">Model weight integrity</w:t>
            </w:r>
          </w:p>
        </w:tc>
        <w:tc>
          <w:tcPr/>
          <w:p>
            <w:pPr>
              <w:pStyle w:val="Compact"/>
            </w:pPr>
            <w:r>
              <w:t xml:space="preserve">Protected by iOS code signing</w:t>
            </w:r>
          </w:p>
        </w:tc>
        <w:tc>
          <w:tcPr/>
          <w:p>
            <w:pPr>
              <w:pStyle w:val="Compact"/>
            </w:pPr>
            <w:r>
              <w:t xml:space="preserve">Weights are embedded in the signed app bundle. iOS code signing and app sandbox prevent extraction or tampering at rest. Weights downloaded post-install are verified via streaming SHA256 checksum before activation.</w:t>
            </w:r>
          </w:p>
        </w:tc>
      </w:tr>
      <w:tr>
        <w:tc>
          <w:tcPr/>
          <w:p>
            <w:pPr>
              <w:pStyle w:val="Compact"/>
            </w:pPr>
            <w:r>
              <w:rPr>
                <w:b/>
                <w:bCs/>
              </w:rPr>
              <w:t xml:space="preserve">Robustness evaluation</w:t>
            </w:r>
          </w:p>
        </w:tc>
        <w:tc>
          <w:tcPr/>
          <w:p>
            <w:pPr>
              <w:pStyle w:val="Compact"/>
            </w:pPr>
            <w:r>
              <w:t xml:space="preserve">Comprehensive perturbation testing</w:t>
            </w:r>
          </w:p>
        </w:tc>
        <w:tc>
          <w:tcPr/>
          <w:p>
            <w:pPr>
              <w:pStyle w:val="Compact"/>
            </w:pPr>
            <w:r>
              <w:t xml:space="preserve">11 models evaluated under case-variation, typo injection, and format perturbation. 2 models (PII Detection 99.7%, Alert Triage 97.0%) pass robustness gates. Remaining models show 75–88% robustness — an active improvement area with documented remediation plan.</w:t>
            </w:r>
          </w:p>
        </w:tc>
      </w:tr>
    </w:tbl>
    <w:p>
      <w:pPr>
        <w:pStyle w:val="BodyText"/>
      </w:pPr>
      <w:r>
        <w:rPr>
          <w:b/>
          <w:bCs/>
        </w:rPr>
        <w:t xml:space="preserve">Architectural security advantage of classifier heads:</w:t>
      </w:r>
      <w:r>
        <w:t xml:space="preserve"> </w:t>
      </w:r>
      <w:r>
        <w:t xml:space="preserve">A classifier head cannot hallucinate, leak training data, or produce out-of-distribution text. Its output is a probability distribution over a fixed, enumerated label set. The argmax of that distribution is the prediction. There is no generation step, no sampling, no temperature parameter, and no prompt that can cause it to emit arbitrary content. This is a fundamentally different — and more auditable — security posture than generative AI systems.</w:t>
      </w:r>
    </w:p>
    <w:p>
      <w:r>
        <w:pict>
          <v:rect style="width:0;height:1.5pt" o:hralign="center" o:hrstd="t" o:hr="t"/>
        </w:pict>
      </w:r>
    </w:p>
    <w:bookmarkEnd w:id="25"/>
    <w:bookmarkEnd w:id="26"/>
    <w:bookmarkStart w:id="30" w:name="model-lifecycle-customization"/>
    <w:p>
      <w:pPr>
        <w:pStyle w:val="Heading2"/>
      </w:pPr>
      <w:r>
        <w:t xml:space="preserve">Model Lifecycle, Customization</w:t>
      </w:r>
    </w:p>
    <w:bookmarkStart w:id="27" w:name="X77584be6fe4f0d5c19d9019a03f0fd75f32ae8e"/>
    <w:p>
      <w:pPr>
        <w:pStyle w:val="Heading3"/>
      </w:pPr>
      <w:r>
        <w:t xml:space="preserve">Does fine-tuning require access to proprietary training infrastructure, or can it be performed on standard hardware (Mac Studio, consumer GPU, cloud A10G)? Provide a complete reproducible training recipe.</w:t>
      </w:r>
    </w:p>
    <w:p>
      <w:pPr>
        <w:pStyle w:val="FirstParagraph"/>
      </w:pPr>
      <w:r>
        <w:rPr>
          <w:b/>
          <w:bCs/>
        </w:rPr>
        <w:t xml:space="preserve">Fine-tuning runs on standard hardware.</w:t>
      </w:r>
      <w:r>
        <w:t xml:space="preserve"> </w:t>
      </w:r>
      <w:r>
        <w:t xml:space="preserve">No proprietary infrastructure required.</w:t>
      </w:r>
    </w:p>
    <w:p>
      <w:pPr>
        <w:pStyle w:val="BodyText"/>
      </w:pPr>
      <w:r>
        <w:rPr>
          <w:b/>
          <w:bCs/>
        </w:rPr>
        <w:t xml:space="preserve">Validated hardware:</w:t>
      </w:r>
    </w:p>
    <w:tbl>
      <w:tblPr>
        <w:tblStyle w:val="Table"/>
        <w:tblW w:type="pct" w:w="5000"/>
        <w:tblLayout w:type="fixed"/>
        <w:tblLook w:firstRow="1" w:lastRow="0" w:firstColumn="0" w:lastColumn="0" w:noHBand="0" w:noVBand="0" w:val="0020"/>
      </w:tblPr>
      <w:tblGrid>
        <w:gridCol w:w="1856"/>
        <w:gridCol w:w="495"/>
        <w:gridCol w:w="2475"/>
        <w:gridCol w:w="3093"/>
      </w:tblGrid>
      <w:tr>
        <w:trPr>
          <w:tblHeader w:val="on"/>
        </w:trPr>
        <w:tc>
          <w:tcPr/>
          <w:p>
            <w:pPr>
              <w:pStyle w:val="Compact"/>
            </w:pPr>
            <w:r>
              <w:t xml:space="preserve">Hardware</w:t>
            </w:r>
          </w:p>
        </w:tc>
        <w:tc>
          <w:tcPr/>
          <w:p>
            <w:pPr>
              <w:pStyle w:val="Compact"/>
            </w:pPr>
            <w:r>
              <w:t xml:space="preserve">VRAM</w:t>
            </w:r>
          </w:p>
        </w:tc>
        <w:tc>
          <w:tcPr/>
          <w:p>
            <w:pPr>
              <w:pStyle w:val="Compact"/>
            </w:pPr>
            <w:r>
              <w:t xml:space="preserve">Training Time (1,000 examples, 5 epochs)</w:t>
            </w:r>
          </w:p>
        </w:tc>
        <w:tc>
          <w:tcPr/>
          <w:p>
            <w:pPr>
              <w:pStyle w:val="Compact"/>
            </w:pPr>
            <w:r>
              <w:t xml:space="preserve">Status</w:t>
            </w:r>
          </w:p>
        </w:tc>
      </w:tr>
      <w:tr>
        <w:tc>
          <w:tcPr/>
          <w:p>
            <w:pPr>
              <w:pStyle w:val="Compact"/>
            </w:pPr>
            <w:r>
              <w:t xml:space="preserve">NVIDIA A10G (24 GB)</w:t>
            </w:r>
          </w:p>
        </w:tc>
        <w:tc>
          <w:tcPr/>
          <w:p>
            <w:pPr>
              <w:pStyle w:val="Compact"/>
            </w:pPr>
            <w:r>
              <w:t xml:space="preserve">24 GB</w:t>
            </w:r>
          </w:p>
        </w:tc>
        <w:tc>
          <w:tcPr/>
          <w:p>
            <w:pPr>
              <w:pStyle w:val="Compact"/>
            </w:pPr>
            <w:r>
              <w:t xml:space="preserve">~15–30 minutes</w:t>
            </w:r>
          </w:p>
        </w:tc>
        <w:tc>
          <w:tcPr/>
          <w:p>
            <w:pPr>
              <w:pStyle w:val="Compact"/>
            </w:pPr>
            <w:r>
              <w:t xml:space="preserve">Validated</w:t>
            </w:r>
          </w:p>
        </w:tc>
      </w:tr>
      <w:tr>
        <w:tc>
          <w:tcPr/>
          <w:p>
            <w:pPr>
              <w:pStyle w:val="Compact"/>
            </w:pPr>
            <w:r>
              <w:t xml:space="preserve">NVIDIA A100 (40/80 GB)</w:t>
            </w:r>
          </w:p>
        </w:tc>
        <w:tc>
          <w:tcPr/>
          <w:p>
            <w:pPr>
              <w:pStyle w:val="Compact"/>
            </w:pPr>
            <w:r>
              <w:t xml:space="preserve">40–80 GB</w:t>
            </w:r>
          </w:p>
        </w:tc>
        <w:tc>
          <w:tcPr/>
          <w:p>
            <w:pPr>
              <w:pStyle w:val="Compact"/>
            </w:pPr>
            <w:r>
              <w:t xml:space="preserve">~10–15 minutes</w:t>
            </w:r>
          </w:p>
        </w:tc>
        <w:tc>
          <w:tcPr/>
          <w:p>
            <w:pPr>
              <w:pStyle w:val="Compact"/>
            </w:pPr>
            <w:r>
              <w:t xml:space="preserve">Validated</w:t>
            </w:r>
          </w:p>
        </w:tc>
      </w:tr>
      <w:tr>
        <w:tc>
          <w:tcPr/>
          <w:p>
            <w:pPr>
              <w:pStyle w:val="Compact"/>
            </w:pPr>
            <w:r>
              <w:t xml:space="preserve">NVIDIA H100 (80 GB)</w:t>
            </w:r>
          </w:p>
        </w:tc>
        <w:tc>
          <w:tcPr/>
          <w:p>
            <w:pPr>
              <w:pStyle w:val="Compact"/>
            </w:pPr>
            <w:r>
              <w:t xml:space="preserve">80 GB</w:t>
            </w:r>
          </w:p>
        </w:tc>
        <w:tc>
          <w:tcPr/>
          <w:p>
            <w:pPr>
              <w:pStyle w:val="Compact"/>
            </w:pPr>
            <w:r>
              <w:t xml:space="preserve">~5–10 minutes</w:t>
            </w:r>
          </w:p>
        </w:tc>
        <w:tc>
          <w:tcPr/>
          <w:p>
            <w:pPr>
              <w:pStyle w:val="Compact"/>
            </w:pPr>
            <w:r>
              <w:t xml:space="preserve">Production (used for all banking models)</w:t>
            </w:r>
          </w:p>
        </w:tc>
      </w:tr>
      <w:tr>
        <w:tc>
          <w:tcPr/>
          <w:p>
            <w:pPr>
              <w:pStyle w:val="Compact"/>
            </w:pPr>
            <w:r>
              <w:t xml:space="preserve">Mac Studio (M2 Ultra, 192 GB)</w:t>
            </w:r>
          </w:p>
        </w:tc>
        <w:tc>
          <w:tcPr/>
          <w:p>
            <w:pPr>
              <w:pStyle w:val="Compact"/>
            </w:pPr>
            <w:r>
              <w:t xml:space="preserve">Unified</w:t>
            </w:r>
          </w:p>
        </w:tc>
        <w:tc>
          <w:tcPr/>
          <w:p>
            <w:pPr>
              <w:pStyle w:val="Compact"/>
            </w:pPr>
            <w:r>
              <w:t xml:space="preserve">Not yet benchmarked for LEAP</w:t>
            </w:r>
          </w:p>
        </w:tc>
        <w:tc>
          <w:tcPr/>
          <w:p>
            <w:pPr>
              <w:pStyle w:val="Compact"/>
            </w:pPr>
            <w:r>
              <w:t xml:space="preserve">Expected viable for LoRA</w:t>
            </w:r>
          </w:p>
        </w:tc>
      </w:tr>
      <w:tr>
        <w:tc>
          <w:tcPr/>
          <w:p>
            <w:pPr>
              <w:pStyle w:val="Compact"/>
            </w:pPr>
            <w:r>
              <w:t xml:space="preserve">Consumer GPU (RTX 4090, 24 GB)</w:t>
            </w:r>
          </w:p>
        </w:tc>
        <w:tc>
          <w:tcPr/>
          <w:p>
            <w:pPr>
              <w:pStyle w:val="Compact"/>
            </w:pPr>
            <w:r>
              <w:t xml:space="preserve">24 GB</w:t>
            </w:r>
          </w:p>
        </w:tc>
        <w:tc>
          <w:tcPr/>
          <w:p>
            <w:pPr>
              <w:pStyle w:val="Compact"/>
            </w:pPr>
            <w:r>
              <w:t xml:space="preserve">Not yet benchmarked</w:t>
            </w:r>
          </w:p>
        </w:tc>
        <w:tc>
          <w:tcPr/>
          <w:p>
            <w:pPr>
              <w:pStyle w:val="Compact"/>
            </w:pPr>
            <w:r>
              <w:t xml:space="preserve">Expected viable for LoRA (same VRAM class as A10G)</w:t>
            </w:r>
          </w:p>
        </w:tc>
      </w:tr>
    </w:tbl>
    <w:p>
      <w:pPr>
        <w:pStyle w:val="BodyText"/>
      </w:pPr>
      <w:r>
        <w:rPr>
          <w:b/>
          <w:bCs/>
        </w:rPr>
        <w:t xml:space="preserve">Reproducible training recipe (LoRA fine-tune):</w:t>
      </w:r>
    </w:p>
    <w:p>
      <w:pPr>
        <w:pStyle w:val="SourceCode"/>
      </w:pPr>
      <w:r>
        <w:rPr>
          <w:rStyle w:val="VerbatimChar"/>
        </w:rPr>
        <w:t xml:space="preserve">1. Prepare data: JSONL format, ChatML conversations</w:t>
      </w:r>
      <w:r>
        <w:br/>
      </w:r>
      <w:r>
        <w:rPr>
          <w:rStyle w:val="VerbatimChar"/>
        </w:rPr>
        <w:t xml:space="preserve">   {"messages": [{"role": "user", "content": "..."}, {"role": "assistant", "content": "..."}]}</w:t>
      </w:r>
      <w:r>
        <w:br/>
      </w:r>
      <w:r>
        <w:br/>
      </w:r>
      <w:r>
        <w:rPr>
          <w:rStyle w:val="VerbatimChar"/>
        </w:rPr>
        <w:t xml:space="preserve">2. Training config:</w:t>
      </w:r>
      <w:r>
        <w:br/>
      </w:r>
      <w:r>
        <w:rPr>
          <w:rStyle w:val="VerbatimChar"/>
        </w:rPr>
        <w:t xml:space="preserve">   - Base model: LFM2.5-350M (F16)</w:t>
      </w:r>
      <w:r>
        <w:br/>
      </w:r>
      <w:r>
        <w:rPr>
          <w:rStyle w:val="VerbatimChar"/>
        </w:rPr>
        <w:t xml:space="preserve">   - Method: LoRA (r=16, alpha=32)</w:t>
      </w:r>
      <w:r>
        <w:br/>
      </w:r>
      <w:r>
        <w:rPr>
          <w:rStyle w:val="VerbatimChar"/>
        </w:rPr>
        <w:t xml:space="preserve">   - Epochs: 5</w:t>
      </w:r>
      <w:r>
        <w:br/>
      </w:r>
      <w:r>
        <w:rPr>
          <w:rStyle w:val="VerbatimChar"/>
        </w:rPr>
        <w:t xml:space="preserve">   - Batch size: 8</w:t>
      </w:r>
      <w:r>
        <w:br/>
      </w:r>
      <w:r>
        <w:rPr>
          <w:rStyle w:val="VerbatimChar"/>
        </w:rPr>
        <w:t xml:space="preserve">   - Gradient accumulation: 2</w:t>
      </w:r>
      <w:r>
        <w:br/>
      </w:r>
      <w:r>
        <w:rPr>
          <w:rStyle w:val="VerbatimChar"/>
        </w:rPr>
        <w:t xml:space="preserve">   - Learning rate: 3e-4</w:t>
      </w:r>
      <w:r>
        <w:br/>
      </w:r>
      <w:r>
        <w:rPr>
          <w:rStyle w:val="VerbatimChar"/>
        </w:rPr>
        <w:t xml:space="preserve">   - Schedule: Cosine decay</w:t>
      </w:r>
      <w:r>
        <w:br/>
      </w:r>
      <w:r>
        <w:rPr>
          <w:rStyle w:val="VerbatimChar"/>
        </w:rPr>
        <w:t xml:space="preserve">   - Max sequence length: 512 (banking queries are short)</w:t>
      </w:r>
      <w:r>
        <w:br/>
      </w:r>
      <w:r>
        <w:rPr>
          <w:rStyle w:val="VerbatimChar"/>
        </w:rPr>
        <w:t xml:space="preserve">   - Test split: 20% held out automatically</w:t>
      </w:r>
      <w:r>
        <w:br/>
      </w:r>
      <w:r>
        <w:br/>
      </w:r>
      <w:r>
        <w:rPr>
          <w:rStyle w:val="VerbatimChar"/>
        </w:rPr>
        <w:t xml:space="preserve">3. Train: LEAP CLI (`leap-finetune`) from JSONL + config</w:t>
      </w:r>
      <w:r>
        <w:br/>
      </w:r>
      <w:r>
        <w:rPr>
          <w:rStyle w:val="VerbatimChar"/>
        </w:rPr>
        <w:t xml:space="preserve">   - Single command: `cp config_&lt;model&gt;.py config.py &amp;&amp; leap-finetune`</w:t>
      </w:r>
      <w:r>
        <w:br/>
      </w:r>
      <w:r>
        <w:br/>
      </w:r>
      <w:r>
        <w:rPr>
          <w:rStyle w:val="VerbatimChar"/>
        </w:rPr>
        <w:t xml:space="preserve">4. Export: Merge LoRA into base → quantize to GGUF (Q4_K_M for mobile)</w:t>
      </w:r>
      <w:r>
        <w:br/>
      </w:r>
      <w:r>
        <w:br/>
      </w:r>
      <w:r>
        <w:rPr>
          <w:rStyle w:val="VerbatimChar"/>
        </w:rPr>
        <w:t xml:space="preserve">5. Deploy: Bundle GGUF in app or distribute via CDN</w:t>
      </w:r>
    </w:p>
    <w:p>
      <w:pPr>
        <w:pStyle w:val="FirstParagraph"/>
      </w:pPr>
      <w:r>
        <w:rPr>
          <w:b/>
          <w:bCs/>
        </w:rPr>
        <w:t xml:space="preserve">Classifier head training recipe (even simpler):</w:t>
      </w:r>
    </w:p>
    <w:p>
      <w:pPr>
        <w:pStyle w:val="SourceCode"/>
      </w:pPr>
      <w:r>
        <w:rPr>
          <w:rStyle w:val="VerbatimChar"/>
        </w:rPr>
        <w:t xml:space="preserve">1. Prepare data: {"text": "customer query", "label": 0}</w:t>
      </w:r>
      <w:r>
        <w:br/>
      </w:r>
      <w:r>
        <w:rPr>
          <w:rStyle w:val="VerbatimChar"/>
        </w:rPr>
        <w:t xml:space="preserve">   - 100–300 labeled examples per task</w:t>
      </w:r>
      <w:r>
        <w:br/>
      </w:r>
      <w:r>
        <w:br/>
      </w:r>
      <w:r>
        <w:rPr>
          <w:rStyle w:val="VerbatimChar"/>
        </w:rPr>
        <w:t xml:space="preserve">2. Train: PEFT sequence classification on frozen LFM2.5 backbone</w:t>
      </w:r>
      <w:r>
        <w:br/>
      </w:r>
      <w:r>
        <w:rPr>
          <w:rStyle w:val="VerbatimChar"/>
        </w:rPr>
        <w:t xml:space="preserve">   - Same LoRA config (r=16, alpha=32)</w:t>
      </w:r>
      <w:r>
        <w:br/>
      </w:r>
      <w:r>
        <w:rPr>
          <w:rStyle w:val="VerbatimChar"/>
        </w:rPr>
        <w:t xml:space="preserve">   - Differential learning rate: head 1e-3, backbone 3e-4</w:t>
      </w:r>
      <w:r>
        <w:br/>
      </w:r>
      <w:r>
        <w:rPr>
          <w:rStyle w:val="VerbatimChar"/>
        </w:rPr>
        <w:t xml:space="preserve">   - 5 epochs, class-weighted loss</w:t>
      </w:r>
      <w:r>
        <w:br/>
      </w:r>
      <w:r>
        <w:rPr>
          <w:rStyle w:val="VerbatimChar"/>
        </w:rPr>
        <w:t xml:space="preserve">   - Training time: ~30–37 seconds on H100</w:t>
      </w:r>
      <w:r>
        <w:br/>
      </w:r>
      <w:r>
        <w:br/>
      </w:r>
      <w:r>
        <w:rPr>
          <w:rStyle w:val="VerbatimChar"/>
        </w:rPr>
        <w:t xml:space="preserve">3. Export: 3 files per head</w:t>
      </w:r>
      <w:r>
        <w:br/>
      </w:r>
      <w:r>
        <w:rPr>
          <w:rStyle w:val="VerbatimChar"/>
        </w:rPr>
        <w:t xml:space="preserve">   - {task}_classifier_weights.bin (float32, [num_classes, 1024])</w:t>
      </w:r>
      <w:r>
        <w:br/>
      </w:r>
      <w:r>
        <w:rPr>
          <w:rStyle w:val="VerbatimChar"/>
        </w:rPr>
        <w:t xml:space="preserve">   - {task}_classifier_bias.bin (float32, [num_classes])</w:t>
      </w:r>
      <w:r>
        <w:br/>
      </w:r>
      <w:r>
        <w:rPr>
          <w:rStyle w:val="VerbatimChar"/>
        </w:rPr>
        <w:t xml:space="preserve">   - {task}_classifier_meta.json (labels, dimensions)</w:t>
      </w:r>
      <w:r>
        <w:br/>
      </w:r>
      <w:r>
        <w:br/>
      </w:r>
      <w:r>
        <w:rPr>
          <w:rStyle w:val="VerbatimChar"/>
        </w:rPr>
        <w:t xml:space="preserve">4. Deploy: Bundle in app (~20–80 KB per head)</w:t>
      </w:r>
    </w:p>
    <w:bookmarkEnd w:id="27"/>
    <w:bookmarkStart w:id="28" w:name="X23a9f65f73a1d80a1924d907659f7a12a0aa531"/>
    <w:p>
      <w:pPr>
        <w:pStyle w:val="Heading3"/>
      </w:pPr>
      <w:r>
        <w:t xml:space="preserve">What fine-tuning methods are supported (LoRA, QLoRA, DPO, RLHF, RLVF, full fine-tune)? What is the minimum training dataset size for each method to show measurable improvement on a narrow classification or extraction task?</w:t>
      </w:r>
    </w:p>
    <w:tbl>
      <w:tblPr>
        <w:tblStyle w:val="Table"/>
        <w:tblW w:type="pct" w:w="5000"/>
        <w:tblLayout w:type="fixed"/>
        <w:tblLook w:firstRow="1" w:lastRow="0" w:firstColumn="0" w:lastColumn="0" w:noHBand="0" w:noVBand="0" w:val="0020"/>
      </w:tblPr>
      <w:tblGrid>
        <w:gridCol w:w="708"/>
        <w:gridCol w:w="839"/>
        <w:gridCol w:w="419"/>
        <w:gridCol w:w="5953"/>
      </w:tblGrid>
      <w:tr>
        <w:trPr>
          <w:tblHeader w:val="on"/>
        </w:trPr>
        <w:tc>
          <w:tcPr/>
          <w:p>
            <w:pPr>
              <w:pStyle w:val="Compact"/>
            </w:pPr>
            <w:r>
              <w:t xml:space="preserve">Method</w:t>
            </w:r>
          </w:p>
        </w:tc>
        <w:tc>
          <w:tcPr/>
          <w:p>
            <w:pPr>
              <w:pStyle w:val="Compact"/>
            </w:pPr>
            <w:r>
              <w:t xml:space="preserve">Supported</w:t>
            </w:r>
          </w:p>
        </w:tc>
        <w:tc>
          <w:tcPr/>
          <w:p>
            <w:pPr>
              <w:pStyle w:val="Compact"/>
            </w:pPr>
            <w:r>
              <w:t xml:space="preserve">Min Dataset Size</w:t>
            </w:r>
          </w:p>
        </w:tc>
        <w:tc>
          <w:tcPr/>
          <w:p>
            <w:pPr>
              <w:pStyle w:val="Compact"/>
            </w:pPr>
            <w:r>
              <w:t xml:space="preserve">Notes</w:t>
            </w:r>
          </w:p>
        </w:tc>
      </w:tr>
      <w:tr>
        <w:tc>
          <w:tcPr/>
          <w:p>
            <w:pPr>
              <w:pStyle w:val="Compact"/>
            </w:pPr>
            <w:r>
              <w:rPr>
                <w:b/>
                <w:bCs/>
              </w:rPr>
              <w:t xml:space="preserve">LoRA (r=16)</w:t>
            </w:r>
          </w:p>
        </w:tc>
        <w:tc>
          <w:tcPr/>
          <w:p>
            <w:pPr>
              <w:pStyle w:val="Compact"/>
            </w:pPr>
            <w:r>
              <w:t xml:space="preserve">Yes — primary method</w:t>
            </w:r>
          </w:p>
        </w:tc>
        <w:tc>
          <w:tcPr/>
          <w:p>
            <w:pPr>
              <w:pStyle w:val="Compact"/>
            </w:pPr>
            <w:r>
              <w:t xml:space="preserve">200–500 examples</w:t>
            </w:r>
          </w:p>
        </w:tc>
        <w:tc>
          <w:tcPr/>
          <w:p>
            <w:pPr>
              <w:pStyle w:val="Compact"/>
            </w:pPr>
            <w:r>
              <w:t xml:space="preserve">5 epochs, lr=3e-4, cosine schedule. Produces ~1–3 MB adapter (GGUF). All 11 banking production models use this method.</w:t>
            </w:r>
          </w:p>
        </w:tc>
      </w:tr>
      <w:tr>
        <w:tc>
          <w:tcPr/>
          <w:p>
            <w:pPr>
              <w:pStyle w:val="Compact"/>
            </w:pPr>
            <w:r>
              <w:rPr>
                <w:b/>
                <w:bCs/>
              </w:rPr>
              <w:t xml:space="preserve">Classifier heads (PEFT)</w:t>
            </w:r>
          </w:p>
        </w:tc>
        <w:tc>
          <w:tcPr/>
          <w:p>
            <w:pPr>
              <w:pStyle w:val="Compact"/>
            </w:pPr>
            <w:r>
              <w:t xml:space="preserve">Yes</w:t>
            </w:r>
          </w:p>
        </w:tc>
        <w:tc>
          <w:tcPr/>
          <w:p>
            <w:pPr>
              <w:pStyle w:val="Compact"/>
            </w:pPr>
            <w:r>
              <w:t xml:space="preserve">100–300 examples</w:t>
            </w:r>
          </w:p>
        </w:tc>
        <w:tc>
          <w:tcPr/>
          <w:p>
            <w:pPr>
              <w:pStyle w:val="Compact"/>
            </w:pPr>
            <w:r>
              <w:t xml:space="preserve">Linear heads on frozen backbone embeddings. &lt;1ms inference. ~20–80 KB per head. 15 heads trained and deployed.</w:t>
            </w:r>
          </w:p>
        </w:tc>
      </w:tr>
      <w:tr>
        <w:tc>
          <w:tcPr/>
          <w:p>
            <w:pPr>
              <w:pStyle w:val="Compact"/>
            </w:pPr>
            <w:r>
              <w:rPr>
                <w:b/>
                <w:bCs/>
              </w:rPr>
              <w:t xml:space="preserve">Full fine-tune</w:t>
            </w:r>
          </w:p>
        </w:tc>
        <w:tc>
          <w:tcPr/>
          <w:p>
            <w:pPr>
              <w:pStyle w:val="Compact"/>
            </w:pPr>
            <w:r>
              <w:t xml:space="preserve">Yes</w:t>
            </w:r>
          </w:p>
        </w:tc>
        <w:tc>
          <w:tcPr/>
          <w:p>
            <w:pPr>
              <w:pStyle w:val="Compact"/>
            </w:pPr>
            <w:r>
              <w:t xml:space="preserve">1,000+ examples</w:t>
            </w:r>
          </w:p>
        </w:tc>
        <w:tc>
          <w:tcPr/>
          <w:p>
            <w:pPr>
              <w:pStyle w:val="Compact"/>
            </w:pPr>
            <w:r>
              <w:t xml:space="preserve">Available but LoRA preferred for mobile deployment (smaller delta weights, OTA-updatable).</w:t>
            </w:r>
          </w:p>
        </w:tc>
      </w:tr>
      <w:tr>
        <w:tc>
          <w:tcPr/>
          <w:p>
            <w:pPr>
              <w:pStyle w:val="Compact"/>
            </w:pPr>
            <w:r>
              <w:rPr>
                <w:b/>
                <w:bCs/>
              </w:rPr>
              <w:t xml:space="preserve">QLoRA</w:t>
            </w:r>
          </w:p>
        </w:tc>
        <w:tc>
          <w:tcPr/>
          <w:p>
            <w:pPr>
              <w:pStyle w:val="Compact"/>
            </w:pPr>
            <w:r>
              <w:t xml:space="preserve">Not yet tested</w:t>
            </w:r>
          </w:p>
        </w:tc>
        <w:tc>
          <w:tcPr/>
          <w:p>
            <w:pPr>
              <w:pStyle w:val="Compact"/>
            </w:pPr>
            <w:r>
              <w:t xml:space="preserve">—</w:t>
            </w:r>
          </w:p>
        </w:tc>
        <w:tc>
          <w:tcPr/>
          <w:p>
            <w:pPr>
              <w:pStyle w:val="Compact"/>
            </w:pPr>
            <w:r>
              <w:t xml:space="preserve">Standard LoRA on F16 base, then quantize to GGUF post-training achieves the same end result. QLoRA would reduce training VRAM but is not yet validated on LFM2.5.</w:t>
            </w:r>
          </w:p>
        </w:tc>
      </w:tr>
      <w:tr>
        <w:tc>
          <w:tcPr/>
          <w:p>
            <w:pPr>
              <w:pStyle w:val="Compact"/>
            </w:pPr>
            <w:r>
              <w:rPr>
                <w:b/>
                <w:bCs/>
              </w:rPr>
              <w:t xml:space="preserve">DPO</w:t>
            </w:r>
          </w:p>
        </w:tc>
        <w:tc>
          <w:tcPr/>
          <w:p>
            <w:pPr>
              <w:pStyle w:val="Compact"/>
            </w:pPr>
            <w:r>
              <w:t xml:space="preserve">Used in base model post-training</w:t>
            </w:r>
          </w:p>
        </w:tc>
        <w:tc>
          <w:tcPr/>
          <w:p>
            <w:pPr>
              <w:pStyle w:val="Compact"/>
            </w:pPr>
            <w:r>
              <w:t xml:space="preserve">—</w:t>
            </w:r>
          </w:p>
        </w:tc>
        <w:tc>
          <w:tcPr/>
          <w:p>
            <w:pPr>
              <w:pStyle w:val="Compact"/>
            </w:pPr>
            <w:r>
              <w:t xml:space="preserve">The base LFM2.5 model uses a length-normalized DPO variant for preference alignment. Not typically needed for narrow task fine-tuning at 350M scale — task-specific SFT outperforms alignment tuning for classification/extraction.</w:t>
            </w:r>
          </w:p>
        </w:tc>
      </w:tr>
      <w:tr>
        <w:tc>
          <w:tcPr/>
          <w:p>
            <w:pPr>
              <w:pStyle w:val="Compact"/>
            </w:pPr>
            <w:r>
              <w:rPr>
                <w:b/>
                <w:bCs/>
              </w:rPr>
              <w:t xml:space="preserve">RLHF</w:t>
            </w:r>
          </w:p>
        </w:tc>
        <w:tc>
          <w:tcPr/>
          <w:p>
            <w:pPr>
              <w:pStyle w:val="Compact"/>
            </w:pPr>
            <w:r>
              <w:t xml:space="preserve">Not used</w:t>
            </w:r>
          </w:p>
        </w:tc>
        <w:tc>
          <w:tcPr/>
          <w:p>
            <w:pPr>
              <w:pStyle w:val="Compact"/>
            </w:pPr>
            <w:r>
              <w:t xml:space="preserve">—</w:t>
            </w:r>
          </w:p>
        </w:tc>
        <w:tc>
          <w:tcPr/>
          <w:p>
            <w:pPr>
              <w:pStyle w:val="Compact"/>
            </w:pPr>
            <w:r>
              <w:t xml:space="preserve">The base model uses DPO-family alignment, not RLHF. For task-specific fine-tuning at 350M scale, SFT is sufficient.</w:t>
            </w:r>
          </w:p>
        </w:tc>
      </w:tr>
      <w:tr>
        <w:tc>
          <w:tcPr/>
          <w:p>
            <w:pPr>
              <w:pStyle w:val="Compact"/>
            </w:pPr>
            <w:r>
              <w:rPr>
                <w:b/>
                <w:bCs/>
              </w:rPr>
              <w:t xml:space="preserve">RLVF</w:t>
            </w:r>
          </w:p>
        </w:tc>
        <w:tc>
          <w:tcPr/>
          <w:p>
            <w:pPr>
              <w:pStyle w:val="Compact"/>
            </w:pPr>
            <w:r>
              <w:t xml:space="preserve">Not applicable</w:t>
            </w:r>
          </w:p>
        </w:tc>
        <w:tc>
          <w:tcPr/>
          <w:p>
            <w:pPr>
              <w:pStyle w:val="Compact"/>
            </w:pPr>
            <w:r>
              <w:t xml:space="preserve">—</w:t>
            </w:r>
          </w:p>
        </w:tc>
        <w:tc>
          <w:tcPr/>
          <w:p>
            <w:pPr>
              <w:pStyle w:val="Compact"/>
            </w:pPr>
            <w:r>
              <w:t xml:space="preserve">Not used in the current training pipeline.</w:t>
            </w:r>
          </w:p>
        </w:tc>
      </w:tr>
    </w:tbl>
    <w:p>
      <w:pPr>
        <w:pStyle w:val="BodyText"/>
      </w:pPr>
      <w:r>
        <w:rPr>
          <w:b/>
          <w:bCs/>
        </w:rPr>
        <w:t xml:space="preserve">Practical guidance on dataset size for banking tasks:</w:t>
      </w:r>
    </w:p>
    <w:tbl>
      <w:tblPr>
        <w:tblStyle w:val="Table"/>
        <w:tblW w:type="pct" w:w="5000"/>
        <w:tblLayout w:type="fixed"/>
        <w:tblLook w:firstRow="1" w:lastRow="0" w:firstColumn="0" w:lastColumn="0" w:noHBand="0" w:noVBand="0" w:val="0020"/>
      </w:tblPr>
      <w:tblGrid>
        <w:gridCol w:w="816"/>
        <w:gridCol w:w="7103"/>
      </w:tblGrid>
      <w:tr>
        <w:trPr>
          <w:tblHeader w:val="on"/>
        </w:trPr>
        <w:tc>
          <w:tcPr/>
          <w:p>
            <w:pPr>
              <w:pStyle w:val="Compact"/>
            </w:pPr>
            <w:r>
              <w:t xml:space="preserve">Dataset Size</w:t>
            </w:r>
          </w:p>
        </w:tc>
        <w:tc>
          <w:tcPr/>
          <w:p>
            <w:pPr>
              <w:pStyle w:val="Compact"/>
            </w:pPr>
            <w:r>
              <w:t xml:space="preserve">Expected Outcome</w:t>
            </w:r>
          </w:p>
        </w:tc>
      </w:tr>
      <w:tr>
        <w:tc>
          <w:tcPr/>
          <w:p>
            <w:pPr>
              <w:pStyle w:val="Compact"/>
            </w:pPr>
            <w:r>
              <w:t xml:space="preserve">50–100 examples</w:t>
            </w:r>
          </w:p>
        </w:tc>
        <w:tc>
          <w:tcPr/>
          <w:p>
            <w:pPr>
              <w:pStyle w:val="Compact"/>
            </w:pPr>
            <w:r>
              <w:t xml:space="preserve">Enough for classifier heads on well-separated classes (e.g., 4-way intent routing). Not enough for generative LoRA.</w:t>
            </w:r>
          </w:p>
        </w:tc>
      </w:tr>
      <w:tr>
        <w:tc>
          <w:tcPr/>
          <w:p>
            <w:pPr>
              <w:pStyle w:val="Compact"/>
            </w:pPr>
            <w:r>
              <w:t xml:space="preserve">200–500 examples</w:t>
            </w:r>
          </w:p>
        </w:tc>
        <w:tc>
          <w:tcPr/>
          <w:p>
            <w:pPr>
              <w:pStyle w:val="Compact"/>
            </w:pPr>
            <w:r>
              <w:t xml:space="preserve">Sweet spot for LoRA fine-tuning on narrow classification/extraction. All banking production models trained in this range.</w:t>
            </w:r>
          </w:p>
        </w:tc>
      </w:tr>
      <w:tr>
        <w:tc>
          <w:tcPr/>
          <w:p>
            <w:pPr>
              <w:pStyle w:val="Compact"/>
            </w:pPr>
            <w:r>
              <w:t xml:space="preserve">500–1,000 examples</w:t>
            </w:r>
          </w:p>
        </w:tc>
        <w:tc>
          <w:tcPr/>
          <w:p>
            <w:pPr>
              <w:pStyle w:val="Compact"/>
            </w:pPr>
            <w:r>
              <w:t xml:space="preserve">Recommended for extraction tasks with complex output schemas (e.g., multi-field JSON).</w:t>
            </w:r>
          </w:p>
        </w:tc>
      </w:tr>
      <w:tr>
        <w:tc>
          <w:tcPr/>
          <w:p>
            <w:pPr>
              <w:pStyle w:val="Compact"/>
            </w:pPr>
            <w:r>
              <w:t xml:space="preserve">1,000–3,000 examples</w:t>
            </w:r>
          </w:p>
        </w:tc>
        <w:tc>
          <w:tcPr/>
          <w:p>
            <w:pPr>
              <w:pStyle w:val="Compact"/>
            </w:pPr>
            <w:r>
              <w:t xml:space="preserve">Recommended for tasks requiring robustness to input variation (typos, casing, format perturbation). PII detection used 2,676 examples with 3 teacher models and 55% negatives.</w:t>
            </w:r>
          </w:p>
        </w:tc>
      </w:tr>
    </w:tbl>
    <w:bookmarkEnd w:id="28"/>
    <w:bookmarkStart w:id="29" w:name="Xabdc3b0e0e76d81af8de9bb5b72bd0a183a8f20"/>
    <w:p>
      <w:pPr>
        <w:pStyle w:val="Heading3"/>
      </w:pPr>
      <w:r>
        <w:t xml:space="preserve">What is the intellectual property ownership of fine-tuned models produced using your platform? Do you retain any rights to model weights, training data, or fine-tune outputs?</w:t>
      </w:r>
    </w:p>
    <w:p>
      <w:pPr>
        <w:pStyle w:val="FirstParagraph"/>
      </w:pPr>
      <w:r>
        <w:rPr>
          <w:b/>
          <w:bCs/>
        </w:rPr>
        <w:t xml:space="preserve">Fine-tuned model weights, training data, and all outputs are owned entirely by the customer.</w:t>
      </w:r>
      <w:r>
        <w:t xml:space="preserve"> </w:t>
      </w:r>
      <w:r>
        <w:t xml:space="preserve">Liquid AI retains no rights to fine-tune artifacts or training data.</w:t>
      </w:r>
    </w:p>
    <w:p>
      <w:pPr>
        <w:pStyle w:val="Compact"/>
        <w:numPr>
          <w:ilvl w:val="0"/>
          <w:numId w:val="1010"/>
        </w:numPr>
      </w:pPr>
      <w:r>
        <w:rPr>
          <w:b/>
          <w:bCs/>
        </w:rPr>
        <w:t xml:space="preserve">Base model:</w:t>
      </w:r>
      <w:r>
        <w:t xml:space="preserve"> </w:t>
      </w:r>
      <w:r>
        <w:t xml:space="preserve">Licensed from Liquid AI. The base LFM2.5-350M weights are Liquid’s IP.</w:t>
      </w:r>
    </w:p>
    <w:p>
      <w:pPr>
        <w:pStyle w:val="Compact"/>
        <w:numPr>
          <w:ilvl w:val="0"/>
          <w:numId w:val="1010"/>
        </w:numPr>
      </w:pPr>
      <w:r>
        <w:rPr>
          <w:b/>
          <w:bCs/>
        </w:rPr>
        <w:t xml:space="preserve">LoRA adapters (fine-tune delta weights):</w:t>
      </w:r>
      <w:r>
        <w:t xml:space="preserve"> </w:t>
      </w:r>
      <w:r>
        <w:t xml:space="preserve">Customer property. These are the trained parameter deltas produced by fine-tuning on customer data.</w:t>
      </w:r>
    </w:p>
    <w:p>
      <w:pPr>
        <w:pStyle w:val="Compact"/>
        <w:numPr>
          <w:ilvl w:val="0"/>
          <w:numId w:val="1010"/>
        </w:numPr>
      </w:pPr>
      <w:r>
        <w:rPr>
          <w:b/>
          <w:bCs/>
        </w:rPr>
        <w:t xml:space="preserve">Classifier heads:</w:t>
      </w:r>
      <w:r>
        <w:t xml:space="preserve"> </w:t>
      </w:r>
      <w:r>
        <w:t xml:space="preserve">Customer property. These are the linear projection weights trained on customer-labeled data.</w:t>
      </w:r>
    </w:p>
    <w:p>
      <w:pPr>
        <w:pStyle w:val="Compact"/>
        <w:numPr>
          <w:ilvl w:val="0"/>
          <w:numId w:val="1010"/>
        </w:numPr>
      </w:pPr>
      <w:r>
        <w:rPr>
          <w:b/>
          <w:bCs/>
        </w:rPr>
        <w:t xml:space="preserve">Training data:</w:t>
      </w:r>
      <w:r>
        <w:t xml:space="preserve"> </w:t>
      </w:r>
      <w:r>
        <w:t xml:space="preserve">Customer property. Training data is never transmitted to Liquid AI during LEAP fine-tuning (training runs on customer-controlled infrastructure).</w:t>
      </w:r>
    </w:p>
    <w:p>
      <w:pPr>
        <w:pStyle w:val="Compact"/>
        <w:numPr>
          <w:ilvl w:val="0"/>
          <w:numId w:val="1010"/>
        </w:numPr>
      </w:pPr>
      <w:r>
        <w:rPr>
          <w:b/>
          <w:bCs/>
        </w:rPr>
        <w:t xml:space="preserve">Inference outputs:</w:t>
      </w:r>
      <w:r>
        <w:t xml:space="preserve"> </w:t>
      </w:r>
      <w:r>
        <w:t xml:space="preserve">Customer property. No output logging, no telemetry, no data retention by Liquid.</w:t>
      </w:r>
    </w:p>
    <w:p>
      <w:r>
        <w:pict>
          <v:rect style="width:0;height:1.5pt" o:hralign="center" o:hrstd="t" o:hr="t"/>
        </w:pict>
      </w:r>
    </w:p>
    <w:bookmarkEnd w:id="29"/>
    <w:bookmarkEnd w:id="30"/>
    <w:bookmarkStart w:id="35" w:name="sdk-development"/>
    <w:p>
      <w:pPr>
        <w:pStyle w:val="Heading2"/>
      </w:pPr>
      <w:r>
        <w:t xml:space="preserve">SDK Development</w:t>
      </w:r>
    </w:p>
    <w:bookmarkStart w:id="31" w:name="X75952fa37f06b6bc2e908e0a151f5514e7440d0"/>
    <w:p>
      <w:pPr>
        <w:pStyle w:val="Heading3"/>
      </w:pPr>
      <w:r>
        <w:t xml:space="preserve">What Swift/Objective-C APIs are exposed — is inference callable from Swift directly, or does it require bridging through a C/C++ layer? Provide a complete Swift API surface example including streaming token callback and cancellation.</w:t>
      </w:r>
    </w:p>
    <w:p>
      <w:pPr>
        <w:pStyle w:val="FirstParagraph"/>
      </w:pPr>
      <w:r>
        <w:rPr>
          <w:b/>
          <w:bCs/>
        </w:rPr>
        <w:t xml:space="preserve">Inference is callable directly from Swift.</w:t>
      </w:r>
      <w:r>
        <w:t xml:space="preserve"> </w:t>
      </w:r>
      <w:r>
        <w:t xml:space="preserve">The C/C++ bridging to llama.cpp is encapsulated inside the</w:t>
      </w:r>
      <w:r>
        <w:t xml:space="preserve"> </w:t>
      </w:r>
      <w:r>
        <w:rPr>
          <w:rStyle w:val="VerbatimChar"/>
        </w:rPr>
        <w:t xml:space="preserve">LFMEngine</w:t>
      </w:r>
      <w:r>
        <w:t xml:space="preserve"> </w:t>
      </w:r>
      <w:r>
        <w:t xml:space="preserve">package — Swift callers never interact with C types.</w:t>
      </w:r>
    </w:p>
    <w:p>
      <w:pPr>
        <w:pStyle w:val="BodyText"/>
      </w:pPr>
      <w:r>
        <w:rPr>
          <w:b/>
          <w:bCs/>
        </w:rPr>
        <w:t xml:space="preserve">Swift API surface (LFMEngine package):</w:t>
      </w:r>
    </w:p>
    <w:p>
      <w:pPr>
        <w:pStyle w:val="SourceCode"/>
      </w:pPr>
      <w:r>
        <w:rPr>
          <w:rStyle w:val="CommentTok"/>
        </w:rPr>
        <w:t xml:space="preserve">// LFMEngine — @MainActor ObservableObject</w:t>
      </w:r>
      <w:r>
        <w:br/>
      </w:r>
      <w:r>
        <w:rPr>
          <w:rStyle w:val="KeywordTok"/>
        </w:rPr>
        <w:t xml:space="preserve">class</w:t>
      </w:r>
      <w:r>
        <w:rPr>
          <w:rStyle w:val="NormalTok"/>
        </w:rPr>
        <w:t xml:space="preserve"> LFMEngine</w:t>
      </w:r>
      <w:r>
        <w:rPr>
          <w:rStyle w:val="OperatorTok"/>
        </w:rPr>
        <w:t xml:space="preserve">:</w:t>
      </w:r>
      <w:r>
        <w:rPr>
          <w:rStyle w:val="NormalTok"/>
        </w:rPr>
        <w:t xml:space="preserve"> </w:t>
      </w:r>
      <w:r>
        <w:rPr>
          <w:rStyle w:val="DataTypeTok"/>
        </w:rPr>
        <w:t xml:space="preserve">ObservableObject</w:t>
      </w:r>
      <w:r>
        <w:rPr>
          <w:rStyle w:val="NormalTok"/>
        </w:rPr>
        <w:t xml:space="preserve"> </w:t>
      </w:r>
      <w:r>
        <w:rPr>
          <w:rStyle w:val="OperatorTok"/>
        </w:rPr>
        <w:t xml:space="preserve">{</w:t>
      </w:r>
      <w:r>
        <w:br/>
      </w:r>
      <w:r>
        <w:br/>
      </w:r>
      <w:r>
        <w:rPr>
          <w:rStyle w:val="NormalTok"/>
        </w:rPr>
        <w:t xml:space="preserve">    </w:t>
      </w:r>
      <w:r>
        <w:rPr>
          <w:rStyle w:val="CommentTok"/>
        </w:rPr>
        <w:t xml:space="preserve">// State</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state</w:t>
      </w:r>
      <w:r>
        <w:rPr>
          <w:rStyle w:val="OperatorTok"/>
        </w:rPr>
        <w:t xml:space="preserve">:</w:t>
      </w:r>
      <w:r>
        <w:rPr>
          <w:rStyle w:val="NormalTok"/>
        </w:rPr>
        <w:t xml:space="preserve"> EngineState        </w:t>
      </w:r>
      <w:r>
        <w:rPr>
          <w:rStyle w:val="CommentTok"/>
        </w:rPr>
        <w:t xml:space="preserve">// .idle, .loading, .ready, .inferring, .error</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isReady</w:t>
      </w:r>
      <w:r>
        <w:rPr>
          <w:rStyle w:val="OperatorTok"/>
        </w:rPr>
        <w:t xml:space="preserve">:</w:t>
      </w:r>
      <w:r>
        <w:rPr>
          <w:rStyle w:val="NormalTok"/>
        </w:rPr>
        <w:t xml:space="preserve"> Bool</w:t>
      </w:r>
      <w:r>
        <w:br/>
      </w:r>
      <w:r>
        <w:rPr>
          <w:rStyle w:val="NormalTok"/>
        </w:rPr>
        <w:t xml:space="preserve">    </w:t>
      </w:r>
      <w:r>
        <w:rPr>
          <w:rStyle w:val="AttributeTok"/>
        </w:rPr>
        <w:t xml:space="preserve">@Published</w:t>
      </w:r>
      <w:r>
        <w:rPr>
          <w:rStyle w:val="NormalTok"/>
        </w:rPr>
        <w:t xml:space="preserve"> </w:t>
      </w:r>
      <w:r>
        <w:rPr>
          <w:rStyle w:val="KeywordTok"/>
        </w:rPr>
        <w:t xml:space="preserve">var</w:t>
      </w:r>
      <w:r>
        <w:rPr>
          <w:rStyle w:val="NormalTok"/>
        </w:rPr>
        <w:t xml:space="preserve"> </w:t>
      </w:r>
      <w:r>
        <w:rPr>
          <w:rStyle w:val="VariableTok"/>
        </w:rPr>
        <w:t xml:space="preserve">currentAdapter</w:t>
      </w:r>
      <w:r>
        <w:rPr>
          <w:rStyle w:val="OperatorTok"/>
        </w:rPr>
        <w:t xml:space="preserve">:</w:t>
      </w:r>
      <w:r>
        <w:rPr>
          <w:rStyle w:val="NormalTok"/>
        </w:rPr>
        <w:t xml:space="preserve"> String</w:t>
      </w:r>
      <w:r>
        <w:rPr>
          <w:rStyle w:val="OperatorTok"/>
        </w:rPr>
        <w:t xml:space="preserve">?</w:t>
      </w:r>
      <w:r>
        <w:br/>
      </w:r>
      <w:r>
        <w:br/>
      </w:r>
      <w:r>
        <w:rPr>
          <w:rStyle w:val="NormalTok"/>
        </w:rPr>
        <w:t xml:space="preserve">    </w:t>
      </w:r>
      <w:r>
        <w:rPr>
          <w:rStyle w:val="CommentTok"/>
        </w:rPr>
        <w:t xml:space="preserve">// Model lifecycle</w:t>
      </w:r>
      <w:r>
        <w:br/>
      </w:r>
      <w:r>
        <w:rPr>
          <w:rStyle w:val="NormalTok"/>
        </w:rPr>
        <w:t xml:space="preserve">    </w:t>
      </w:r>
      <w:r>
        <w:rPr>
          <w:rStyle w:val="KeywordTok"/>
        </w:rPr>
        <w:t xml:space="preserve">func</w:t>
      </w:r>
      <w:r>
        <w:rPr>
          <w:rStyle w:val="NormalTok"/>
        </w:rPr>
        <w:t xml:space="preserve"> </w:t>
      </w:r>
      <w:r>
        <w:rPr>
          <w:rStyle w:val="FunctionTok"/>
        </w:rPr>
        <w:t xml:space="preserve">loadModel</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NormalTok"/>
        </w:rPr>
        <w:t xml:space="preserve">    </w:t>
      </w:r>
      <w:r>
        <w:rPr>
          <w:rStyle w:val="KeywordTok"/>
        </w:rPr>
        <w:t xml:space="preserve">func</w:t>
      </w:r>
      <w:r>
        <w:rPr>
          <w:rStyle w:val="NormalTok"/>
        </w:rPr>
        <w:t xml:space="preserve"> </w:t>
      </w:r>
      <w:r>
        <w:rPr>
          <w:rStyle w:val="FunctionTok"/>
        </w:rPr>
        <w:t xml:space="preserve">warmUp</w:t>
      </w:r>
      <w:r>
        <w:rPr>
          <w:rStyle w:val="OperatorTok"/>
        </w:rPr>
        <w:t xml:space="preserve">()</w:t>
      </w:r>
      <w:r>
        <w:rPr>
          <w:rStyle w:val="NormalTok"/>
        </w:rPr>
        <w:t xml:space="preserve"> </w:t>
      </w:r>
      <w:r>
        <w:rPr>
          <w:rStyle w:val="FunctionTok"/>
        </w:rPr>
        <w:t xml:space="preserve">async</w:t>
      </w:r>
      <w:r>
        <w:br/>
      </w:r>
      <w:r>
        <w:br/>
      </w:r>
      <w:r>
        <w:rPr>
          <w:rStyle w:val="NormalTok"/>
        </w:rPr>
        <w:t xml:space="preserve">    </w:t>
      </w:r>
      <w:r>
        <w:rPr>
          <w:rStyle w:val="CommentTok"/>
        </w:rPr>
        <w:t xml:space="preserve">// LoRA adapter management (hot-swap, no model reload)</w:t>
      </w:r>
      <w:r>
        <w:br/>
      </w:r>
      <w:r>
        <w:rPr>
          <w:rStyle w:val="NormalTok"/>
        </w:rPr>
        <w:t xml:space="preserve">    </w:t>
      </w:r>
      <w:r>
        <w:rPr>
          <w:rStyle w:val="KeywordTok"/>
        </w:rPr>
        <w:t xml:space="preserve">func</w:t>
      </w:r>
      <w:r>
        <w:rPr>
          <w:rStyle w:val="NormalTok"/>
        </w:rPr>
        <w:t xml:space="preserve"> </w:t>
      </w:r>
      <w:r>
        <w:rPr>
          <w:rStyle w:val="FunctionTok"/>
        </w:rPr>
        <w:t xml:space="preserve">setAdapter</w:t>
      </w:r>
      <w:r>
        <w:rPr>
          <w:rStyle w:val="OperatorTok"/>
        </w:rPr>
        <w:t xml:space="preserve">(</w:t>
      </w:r>
      <w:r>
        <w:rPr>
          <w:rStyle w:val="VariableTok"/>
        </w:rPr>
        <w:t xml:space="preserve">_</w:t>
      </w:r>
      <w:r>
        <w:rPr>
          <w:rStyle w:val="NormalTok"/>
        </w:rPr>
        <w:t xml:space="preserve"> </w:t>
      </w:r>
      <w:r>
        <w:rPr>
          <w:rStyle w:val="VariableTok"/>
        </w:rPr>
        <w:t xml:space="preserve">adapter</w:t>
      </w:r>
      <w:r>
        <w:rPr>
          <w:rStyle w:val="OperatorTok"/>
        </w:rPr>
        <w:t xml:space="preserve">:</w:t>
      </w:r>
      <w:r>
        <w:rPr>
          <w:rStyle w:val="NormalTok"/>
        </w:rPr>
        <w:t xml:space="preserve"> </w:t>
      </w:r>
      <w:r>
        <w:rPr>
          <w:rStyle w:val="DataTypeTok"/>
        </w:rPr>
        <w:t xml:space="preserve">AdapterConfig</w:t>
      </w:r>
      <w:r>
        <w:rPr>
          <w:rStyle w:val="OperatorTok"/>
        </w:rPr>
        <w:t xml:space="preserve">,</w:t>
      </w:r>
      <w:r>
        <w:rPr>
          <w:rStyle w:val="NormalTok"/>
        </w:rPr>
        <w:t xml:space="preserve"> </w:t>
      </w:r>
      <w:r>
        <w:rPr>
          <w:rStyle w:val="VariableTok"/>
        </w:rPr>
        <w:t xml:space="preserve">resolvedPath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rPr>
          <w:rStyle w:val="NormalTok"/>
        </w:rPr>
        <w:t xml:space="preserve">    </w:t>
      </w:r>
      <w:r>
        <w:rPr>
          <w:rStyle w:val="KeywordTok"/>
        </w:rPr>
        <w:t xml:space="preserve">func</w:t>
      </w:r>
      <w:r>
        <w:rPr>
          <w:rStyle w:val="NormalTok"/>
        </w:rPr>
        <w:t xml:space="preserve"> </w:t>
      </w:r>
      <w:r>
        <w:rPr>
          <w:rStyle w:val="FunctionTok"/>
        </w:rPr>
        <w:t xml:space="preserve">removeAdapter</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br/>
      </w:r>
      <w:r>
        <w:br/>
      </w:r>
      <w:r>
        <w:rPr>
          <w:rStyle w:val="NormalTok"/>
        </w:rPr>
        <w:t xml:space="preserve">    </w:t>
      </w:r>
      <w:r>
        <w:rPr>
          <w:rStyle w:val="CommentTok"/>
        </w:rPr>
        <w:t xml:space="preserve">// Single inference</w:t>
      </w:r>
      <w:r>
        <w:br/>
      </w:r>
      <w:r>
        <w:rPr>
          <w:rStyle w:val="NormalTok"/>
        </w:rPr>
        <w:t xml:space="preserve">    </w:t>
      </w:r>
      <w:r>
        <w:rPr>
          <w:rStyle w:val="KeywordTok"/>
        </w:rPr>
        <w:t xml:space="preserve">func</w:t>
      </w:r>
      <w:r>
        <w:rPr>
          <w:rStyle w:val="NormalTok"/>
        </w:rPr>
        <w:t xml:space="preserve"> </w:t>
      </w:r>
      <w:r>
        <w:rPr>
          <w:rStyle w:val="FunctionTok"/>
        </w:rPr>
        <w:t xml:space="preserve">generate</w:t>
      </w:r>
      <w:r>
        <w:rPr>
          <w:rStyle w:val="OperatorTok"/>
        </w:rPr>
        <w:t xml:space="preserve">(</w:t>
      </w:r>
      <w:r>
        <w:rPr>
          <w:rStyle w:val="VariableTok"/>
        </w:rPr>
        <w:t xml:space="preserve">_</w:t>
      </w:r>
      <w:r>
        <w:rPr>
          <w:rStyle w:val="NormalTok"/>
        </w:rPr>
        <w:t xml:space="preserve"> </w:t>
      </w:r>
      <w:r>
        <w:rPr>
          <w:rStyle w:val="VariableTok"/>
        </w:rPr>
        <w:t xml:space="preserve">params</w:t>
      </w:r>
      <w:r>
        <w:rPr>
          <w:rStyle w:val="OperatorTok"/>
        </w:rPr>
        <w:t xml:space="preserve">:</w:t>
      </w:r>
      <w:r>
        <w:rPr>
          <w:rStyle w:val="NormalTok"/>
        </w:rPr>
        <w:t xml:space="preserve"> </w:t>
      </w:r>
      <w:r>
        <w:rPr>
          <w:rStyle w:val="DataTypeTok"/>
        </w:rPr>
        <w:t xml:space="preserve">InferenceParams</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InferenceResult</w:t>
      </w:r>
      <w:r>
        <w:br/>
      </w:r>
      <w:r>
        <w:br/>
      </w:r>
      <w:r>
        <w:rPr>
          <w:rStyle w:val="NormalTok"/>
        </w:rPr>
        <w:t xml:space="preserve">    </w:t>
      </w:r>
      <w:r>
        <w:rPr>
          <w:rStyle w:val="CommentTok"/>
        </w:rPr>
        <w:t xml:space="preserve">// Streaming inference</w:t>
      </w:r>
      <w:r>
        <w:br/>
      </w:r>
      <w:r>
        <w:rPr>
          <w:rStyle w:val="NormalTok"/>
        </w:rPr>
        <w:t xml:space="preserve">    </w:t>
      </w:r>
      <w:r>
        <w:rPr>
          <w:rStyle w:val="KeywordTok"/>
        </w:rPr>
        <w:t xml:space="preserve">func</w:t>
      </w:r>
      <w:r>
        <w:rPr>
          <w:rStyle w:val="NormalTok"/>
        </w:rPr>
        <w:t xml:space="preserve"> </w:t>
      </w:r>
      <w:r>
        <w:rPr>
          <w:rStyle w:val="FunctionTok"/>
        </w:rPr>
        <w:t xml:space="preserve">generateStream</w:t>
      </w:r>
      <w:r>
        <w:rPr>
          <w:rStyle w:val="OperatorTok"/>
        </w:rPr>
        <w:t xml:space="preserve">(</w:t>
      </w:r>
      <w:r>
        <w:rPr>
          <w:rStyle w:val="VariableTok"/>
        </w:rPr>
        <w:t xml:space="preserve">_</w:t>
      </w:r>
      <w:r>
        <w:rPr>
          <w:rStyle w:val="NormalTok"/>
        </w:rPr>
        <w:t xml:space="preserve"> </w:t>
      </w:r>
      <w:r>
        <w:rPr>
          <w:rStyle w:val="VariableTok"/>
        </w:rPr>
        <w:t xml:space="preserve">params</w:t>
      </w:r>
      <w:r>
        <w:rPr>
          <w:rStyle w:val="OperatorTok"/>
        </w:rPr>
        <w:t xml:space="preserve">:</w:t>
      </w:r>
      <w:r>
        <w:rPr>
          <w:rStyle w:val="NormalTok"/>
        </w:rPr>
        <w:t xml:space="preserve"> </w:t>
      </w:r>
      <w:r>
        <w:rPr>
          <w:rStyle w:val="DataTypeTok"/>
        </w:rPr>
        <w:t xml:space="preserve">InferenceParams</w:t>
      </w:r>
      <w:r>
        <w:rPr>
          <w:rStyle w:val="OperatorTok"/>
        </w:rPr>
        <w:t xml:space="preserve">)</w:t>
      </w:r>
      <w:r>
        <w:rPr>
          <w:rStyle w:val="NormalTok"/>
        </w:rPr>
        <w:t xml:space="preserve"> -&gt; </w:t>
      </w:r>
      <w:r>
        <w:rPr>
          <w:rStyle w:val="FunctionTok"/>
        </w:rPr>
        <w:t xml:space="preserve">AsyncThrowingStream</w:t>
      </w:r>
      <w:r>
        <w:rPr>
          <w:rStyle w:val="OperatorTok"/>
        </w:rPr>
        <w:t xml:space="preserve">&lt;</w:t>
      </w:r>
      <w:r>
        <w:rPr>
          <w:rStyle w:val="DataTypeTok"/>
        </w:rPr>
        <w:t xml:space="preserve">StreamToken</w:t>
      </w:r>
      <w:r>
        <w:rPr>
          <w:rStyle w:val="NormalTok"/>
        </w:rPr>
        <w:t xml:space="preserve">, </w:t>
      </w:r>
      <w:r>
        <w:rPr>
          <w:rStyle w:val="DataTypeTok"/>
        </w:rPr>
        <w:t xml:space="preserve">Error</w:t>
      </w:r>
      <w:r>
        <w:rPr>
          <w:rStyle w:val="OperatorTok"/>
        </w:rPr>
        <w:t xml:space="preserve">&gt;</w:t>
      </w:r>
      <w:r>
        <w:br/>
      </w:r>
      <w:r>
        <w:rPr>
          <w:rStyle w:val="OperatorTok"/>
        </w:rPr>
        <w:t xml:space="preserve">}</w:t>
      </w:r>
      <w:r>
        <w:br/>
      </w:r>
      <w:r>
        <w:br/>
      </w:r>
      <w:r>
        <w:rPr>
          <w:rStyle w:val="CommentTok"/>
        </w:rPr>
        <w:t xml:space="preserve">// Classifier heads (Accelerate.framework, sub-millisecond)</w:t>
      </w:r>
      <w:r>
        <w:br/>
      </w:r>
      <w:r>
        <w:rPr>
          <w:rStyle w:val="KeywordTok"/>
        </w:rPr>
        <w:t xml:space="preserve">struct</w:t>
      </w:r>
      <w:r>
        <w:rPr>
          <w:rStyle w:val="NormalTok"/>
        </w:rPr>
        <w:t xml:space="preserve"> ClassifierHead </w:t>
      </w:r>
      <w:r>
        <w:rPr>
          <w:rStyle w:val="OperatorTok"/>
        </w:rPr>
        <w:t xml:space="preserve">{</w:t>
      </w:r>
      <w:r>
        <w:br/>
      </w:r>
      <w:r>
        <w:rPr>
          <w:rStyle w:val="NormalTok"/>
        </w:rPr>
        <w:t xml:space="preserve">    </w:t>
      </w:r>
      <w:r>
        <w:rPr>
          <w:rStyle w:val="CommentTok"/>
        </w:rPr>
        <w:t xml:space="preserve">// Single-label classification (softmax + argmax)</w:t>
      </w:r>
      <w:r>
        <w:br/>
      </w:r>
      <w:r>
        <w:rPr>
          <w:rStyle w:val="NormalTok"/>
        </w:rPr>
        <w:t xml:space="preserve">    </w:t>
      </w:r>
      <w:r>
        <w:rPr>
          <w:rStyle w:val="KeywordTok"/>
        </w:rPr>
        <w:t xml:space="preserve">func</w:t>
      </w:r>
      <w:r>
        <w:rPr>
          <w:rStyle w:val="NormalTok"/>
        </w:rPr>
        <w:t xml:space="preserve"> </w:t>
      </w:r>
      <w:r>
        <w:rPr>
          <w:rStyle w:val="FunctionTok"/>
        </w:rPr>
        <w:t xml:space="preserve">classify</w:t>
      </w:r>
      <w:r>
        <w:rPr>
          <w:rStyle w:val="OperatorTok"/>
        </w:rPr>
        <w:t xml:space="preserve">(</w:t>
      </w:r>
      <w:r>
        <w:rPr>
          <w:rStyle w:val="VariableTok"/>
        </w:rPr>
        <w:t xml:space="preserve">_</w:t>
      </w:r>
      <w:r>
        <w:rPr>
          <w:rStyle w:val="NormalTok"/>
        </w:rPr>
        <w:t xml:space="preserve"> </w:t>
      </w:r>
      <w:r>
        <w:rPr>
          <w:rStyle w:val="VariableTok"/>
        </w:rPr>
        <w:t xml:space="preserve">hiddenState</w:t>
      </w:r>
      <w:r>
        <w:rPr>
          <w:rStyle w:val="OperatorTok"/>
        </w:rPr>
        <w:t xml:space="preserve">:</w:t>
      </w:r>
      <w:r>
        <w:rPr>
          <w:rStyle w:val="NormalTok"/>
        </w:rPr>
        <w:t xml:space="preserve"> [</w:t>
      </w:r>
      <w:r>
        <w:rPr>
          <w:rStyle w:val="DataTypeTok"/>
        </w:rPr>
        <w:t xml:space="preserve">Float</w:t>
      </w:r>
      <w:r>
        <w:rPr>
          <w:rStyle w:val="NormalTok"/>
        </w:rPr>
        <w:t xml:space="preserve">]</w:t>
      </w:r>
      <w:r>
        <w:rPr>
          <w:rStyle w:val="OperatorTok"/>
        </w:rPr>
        <w:t xml:space="preserve">)</w:t>
      </w:r>
      <w:r>
        <w:rPr>
          <w:rStyle w:val="NormalTok"/>
        </w:rPr>
        <w:t xml:space="preserve"> -&gt; </w:t>
      </w:r>
      <w:r>
        <w:rPr>
          <w:rStyle w:val="FunctionTok"/>
        </w:rPr>
        <w:t xml:space="preserve">Prediction</w:t>
      </w:r>
      <w:r>
        <w:br/>
      </w:r>
      <w:r>
        <w:br/>
      </w:r>
      <w:r>
        <w:rPr>
          <w:rStyle w:val="NormalTok"/>
        </w:rPr>
        <w:t xml:space="preserve">    </w:t>
      </w:r>
      <w:r>
        <w:rPr>
          <w:rStyle w:val="CommentTok"/>
        </w:rPr>
        <w:t xml:space="preserve">// Multi-label classification (per-class sigmoid)</w:t>
      </w:r>
      <w:r>
        <w:br/>
      </w:r>
      <w:r>
        <w:rPr>
          <w:rStyle w:val="NormalTok"/>
        </w:rPr>
        <w:t xml:space="preserve">    </w:t>
      </w:r>
      <w:r>
        <w:rPr>
          <w:rStyle w:val="KeywordTok"/>
        </w:rPr>
        <w:t xml:space="preserve">func</w:t>
      </w:r>
      <w:r>
        <w:rPr>
          <w:rStyle w:val="NormalTok"/>
        </w:rPr>
        <w:t xml:space="preserve"> </w:t>
      </w:r>
      <w:r>
        <w:rPr>
          <w:rStyle w:val="FunctionTok"/>
        </w:rPr>
        <w:t xml:space="preserve">classifyMultiLabel</w:t>
      </w:r>
      <w:r>
        <w:rPr>
          <w:rStyle w:val="OperatorTok"/>
        </w:rPr>
        <w:t xml:space="preserve">(</w:t>
      </w:r>
      <w:r>
        <w:rPr>
          <w:rStyle w:val="VariableTok"/>
        </w:rPr>
        <w:t xml:space="preserve">_</w:t>
      </w:r>
      <w:r>
        <w:rPr>
          <w:rStyle w:val="NormalTok"/>
        </w:rPr>
        <w:t xml:space="preserve"> </w:t>
      </w:r>
      <w:r>
        <w:rPr>
          <w:rStyle w:val="VariableTok"/>
        </w:rPr>
        <w:t xml:space="preserve">hiddenState</w:t>
      </w:r>
      <w:r>
        <w:rPr>
          <w:rStyle w:val="OperatorTok"/>
        </w:rPr>
        <w:t xml:space="preserve">:</w:t>
      </w:r>
      <w:r>
        <w:rPr>
          <w:rStyle w:val="NormalTok"/>
        </w:rPr>
        <w:t xml:space="preserve"> [</w:t>
      </w:r>
      <w:r>
        <w:rPr>
          <w:rStyle w:val="DataTypeTok"/>
        </w:rPr>
        <w:t xml:space="preserve">Float</w:t>
      </w:r>
      <w:r>
        <w:rPr>
          <w:rStyle w:val="NormalTok"/>
        </w:rPr>
        <w:t xml:space="preserve">]</w:t>
      </w:r>
      <w:r>
        <w:rPr>
          <w:rStyle w:val="OperatorTok"/>
        </w:rPr>
        <w:t xml:space="preserve">,</w:t>
      </w:r>
      <w:r>
        <w:rPr>
          <w:rStyle w:val="NormalTok"/>
        </w:rPr>
        <w:t xml:space="preserve"> </w:t>
      </w:r>
      <w:r>
        <w:rPr>
          <w:rStyle w:val="VariableTok"/>
        </w:rPr>
        <w:t xml:space="preserve">threshold</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-&gt; </w:t>
      </w:r>
      <w:r>
        <w:rPr>
          <w:rStyle w:val="FunctionTok"/>
        </w:rPr>
        <w:t xml:space="preserve">MultiLabelPrediction</w:t>
      </w:r>
      <w:r>
        <w:br/>
      </w:r>
      <w:r>
        <w:br/>
      </w:r>
      <w:r>
        <w:rPr>
          <w:rStyle w:val="NormalTok"/>
        </w:rPr>
        <w:t xml:space="preserve">    </w:t>
      </w:r>
      <w:r>
        <w:rPr>
          <w:rStyle w:val="CommentTok"/>
        </w:rPr>
        <w:t xml:space="preserve">// Regression (dot product + sigmoid)</w:t>
      </w:r>
      <w:r>
        <w:br/>
      </w:r>
      <w:r>
        <w:rPr>
          <w:rStyle w:val="NormalTok"/>
        </w:rPr>
        <w:t xml:space="preserve">    </w:t>
      </w:r>
      <w:r>
        <w:rPr>
          <w:rStyle w:val="KeywordTok"/>
        </w:rPr>
        <w:t xml:space="preserve">func</w:t>
      </w:r>
      <w:r>
        <w:rPr>
          <w:rStyle w:val="NormalTok"/>
        </w:rPr>
        <w:t xml:space="preserve"> </w:t>
      </w:r>
      <w:r>
        <w:rPr>
          <w:rStyle w:val="FunctionTok"/>
        </w:rPr>
        <w:t xml:space="preserve">classifyRegression</w:t>
      </w:r>
      <w:r>
        <w:rPr>
          <w:rStyle w:val="OperatorTok"/>
        </w:rPr>
        <w:t xml:space="preserve">(</w:t>
      </w:r>
      <w:r>
        <w:rPr>
          <w:rStyle w:val="VariableTok"/>
        </w:rPr>
        <w:t xml:space="preserve">_</w:t>
      </w:r>
      <w:r>
        <w:rPr>
          <w:rStyle w:val="NormalTok"/>
        </w:rPr>
        <w:t xml:space="preserve"> </w:t>
      </w:r>
      <w:r>
        <w:rPr>
          <w:rStyle w:val="VariableTok"/>
        </w:rPr>
        <w:t xml:space="preserve">hiddenState</w:t>
      </w:r>
      <w:r>
        <w:rPr>
          <w:rStyle w:val="OperatorTok"/>
        </w:rPr>
        <w:t xml:space="preserve">:</w:t>
      </w:r>
      <w:r>
        <w:rPr>
          <w:rStyle w:val="NormalTok"/>
        </w:rPr>
        <w:t xml:space="preserve"> [</w:t>
      </w:r>
      <w:r>
        <w:rPr>
          <w:rStyle w:val="DataTypeTok"/>
        </w:rPr>
        <w:t xml:space="preserve">Float</w:t>
      </w:r>
      <w:r>
        <w:rPr>
          <w:rStyle w:val="NormalTok"/>
        </w:rPr>
        <w:t xml:space="preserve">]</w:t>
      </w:r>
      <w:r>
        <w:rPr>
          <w:rStyle w:val="OperatorTok"/>
        </w:rPr>
        <w:t xml:space="preserve">)</w:t>
      </w:r>
      <w:r>
        <w:rPr>
          <w:rStyle w:val="NormalTok"/>
        </w:rPr>
        <w:t xml:space="preserve"> -&gt; </w:t>
      </w:r>
      <w:r>
        <w:rPr>
          <w:rStyle w:val="FunctionTok"/>
        </w:rPr>
        <w:t xml:space="preserve">RegressionPrediction</w:t>
      </w:r>
      <w:r>
        <w:br/>
      </w:r>
      <w:r>
        <w:br/>
      </w:r>
      <w:r>
        <w:rPr>
          <w:rStyle w:val="NormalTok"/>
        </w:rPr>
        <w:t xml:space="preserve">    </w:t>
      </w:r>
      <w:r>
        <w:rPr>
          <w:rStyle w:val="CommentTok"/>
        </w:rPr>
        <w:t xml:space="preserve">// Token-level classification (batch matmul, for PII/NER)</w:t>
      </w:r>
      <w:r>
        <w:br/>
      </w:r>
      <w:r>
        <w:rPr>
          <w:rStyle w:val="NormalTok"/>
        </w:rPr>
        <w:t xml:space="preserve">    </w:t>
      </w:r>
      <w:r>
        <w:rPr>
          <w:rStyle w:val="KeywordTok"/>
        </w:rPr>
        <w:t xml:space="preserve">func</w:t>
      </w:r>
      <w:r>
        <w:rPr>
          <w:rStyle w:val="NormalTok"/>
        </w:rPr>
        <w:t xml:space="preserve"> </w:t>
      </w:r>
      <w:r>
        <w:rPr>
          <w:rStyle w:val="FunctionTok"/>
        </w:rPr>
        <w:t xml:space="preserve">classifyTokens</w:t>
      </w:r>
      <w:r>
        <w:rPr>
          <w:rStyle w:val="OperatorTok"/>
        </w:rPr>
        <w:t xml:space="preserve">(</w:t>
      </w:r>
      <w:r>
        <w:rPr>
          <w:rStyle w:val="VariableTok"/>
        </w:rPr>
        <w:t xml:space="preserve">_</w:t>
      </w:r>
      <w:r>
        <w:rPr>
          <w:rStyle w:val="NormalTok"/>
        </w:rPr>
        <w:t xml:space="preserve"> </w:t>
      </w:r>
      <w:r>
        <w:rPr>
          <w:rStyle w:val="VariableTok"/>
        </w:rPr>
        <w:t xml:space="preserve">embeddings</w:t>
      </w:r>
      <w:r>
        <w:rPr>
          <w:rStyle w:val="OperatorTok"/>
        </w:rPr>
        <w:t xml:space="preserve">:</w:t>
      </w:r>
      <w:r>
        <w:rPr>
          <w:rStyle w:val="NormalTok"/>
        </w:rPr>
        <w:t xml:space="preserve"> [</w:t>
      </w:r>
      <w:r>
        <w:rPr>
          <w:rStyle w:val="DataTypeTok"/>
        </w:rPr>
        <w:t xml:space="preserve">Float</w:t>
      </w:r>
      <w:r>
        <w:rPr>
          <w:rStyle w:val="NormalTok"/>
        </w:rPr>
        <w:t xml:space="preserve">]</w:t>
      </w:r>
      <w:r>
        <w:rPr>
          <w:rStyle w:val="OperatorTok"/>
        </w:rPr>
        <w:t xml:space="preserve">,</w:t>
      </w:r>
      <w:r>
        <w:rPr>
          <w:rStyle w:val="NormalTok"/>
        </w:rPr>
        <w:t xml:space="preserve"> </w:t>
      </w:r>
      <w:r>
        <w:rPr>
          <w:rStyle w:val="VariableTok"/>
        </w:rPr>
        <w:t xml:space="preserve">numTokens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-&gt; </w:t>
      </w:r>
      <w:r>
        <w:rPr>
          <w:rStyle w:val="FunctionTok"/>
        </w:rPr>
        <w:t xml:space="preserve">TokenPrediction</w:t>
      </w:r>
      <w:r>
        <w:br/>
      </w:r>
      <w:r>
        <w:rPr>
          <w:rStyle w:val="OperatorTok"/>
        </w:rPr>
        <w:t xml:space="preserve">}</w:t>
      </w:r>
      <w:r>
        <w:br/>
      </w:r>
      <w:r>
        <w:br/>
      </w:r>
      <w:r>
        <w:rPr>
          <w:rStyle w:val="CommentTok"/>
        </w:rPr>
        <w:t xml:space="preserve">// Embedding extraction (for classifier heads)</w:t>
      </w:r>
      <w:r>
        <w:br/>
      </w:r>
      <w:r>
        <w:rPr>
          <w:rStyle w:val="KeywordTok"/>
        </w:rPr>
        <w:t xml:space="preserve">extension</w:t>
      </w:r>
      <w:r>
        <w:rPr>
          <w:rStyle w:val="NormalTok"/>
        </w:rPr>
        <w:t xml:space="preserve"> LlamaBackend </w:t>
      </w:r>
      <w:r>
        <w:rPr>
          <w:rStyle w:val="OperatorTok"/>
        </w:rPr>
        <w:t xml:space="preserve">{</w:t>
      </w:r>
      <w:r>
        <w:br/>
      </w:r>
      <w:r>
        <w:rPr>
          <w:rStyle w:val="NormalTok"/>
        </w:rPr>
        <w:t xml:space="preserve">    </w:t>
      </w:r>
      <w:r>
        <w:rPr>
          <w:rStyle w:val="KeywordTok"/>
        </w:rPr>
        <w:t xml:space="preserve">func</w:t>
      </w:r>
      <w:r>
        <w:rPr>
          <w:rStyle w:val="NormalTok"/>
        </w:rPr>
        <w:t xml:space="preserve"> </w:t>
      </w:r>
      <w:r>
        <w:rPr>
          <w:rStyle w:val="FunctionTok"/>
        </w:rPr>
        <w:t xml:space="preserve">extractEmbeddings</w:t>
      </w:r>
      <w:r>
        <w:rPr>
          <w:rStyle w:val="OperatorTok"/>
        </w:rPr>
        <w:t xml:space="preserve">(</w:t>
      </w:r>
      <w:r>
        <w:rPr>
          <w:rStyle w:val="VariableTok"/>
        </w:rPr>
        <w:t xml:space="preserve">_</w:t>
      </w:r>
      <w:r>
        <w:rPr>
          <w:rStyle w:val="NormalTok"/>
        </w:rPr>
        <w:t xml:space="preserve"> </w:t>
      </w:r>
      <w:r>
        <w:rPr>
          <w:rStyle w:val="VariableTok"/>
        </w:rPr>
        <w:t xml:space="preserve">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async</w:t>
      </w:r>
      <w:r>
        <w:rPr>
          <w:rStyle w:val="NormalTok"/>
        </w:rPr>
        <w:t xml:space="preserve"> </w:t>
      </w:r>
      <w:r>
        <w:rPr>
          <w:rStyle w:val="KeywordTok"/>
        </w:rPr>
        <w:t xml:space="preserve">throws</w:t>
      </w:r>
      <w:r>
        <w:rPr>
          <w:rStyle w:val="NormalTok"/>
        </w:rPr>
        <w:t xml:space="preserve"> -&gt; [</w:t>
      </w:r>
      <w:r>
        <w:rPr>
          <w:rStyle w:val="FunctionTok"/>
        </w:rPr>
        <w:t xml:space="preserve">Float</w:t>
      </w:r>
      <w:r>
        <w:rPr>
          <w:rStyle w:val="NormalTok"/>
        </w:rPr>
        <w:t xml:space="preserve">]  </w:t>
      </w:r>
      <w:r>
        <w:rPr>
          <w:rStyle w:val="CommentTok"/>
        </w:rPr>
        <w:t xml:space="preserve">// 1024-dim hidden state</w:t>
      </w:r>
      <w:r>
        <w:br/>
      </w:r>
      <w:r>
        <w:rPr>
          <w:rStyle w:val="OperatorTok"/>
        </w:rPr>
        <w:t xml:space="preserve">}</w:t>
      </w:r>
    </w:p>
    <w:p>
      <w:pPr>
        <w:pStyle w:val="FirstParagraph"/>
      </w:pPr>
      <w:r>
        <w:rPr>
          <w:b/>
          <w:bCs/>
        </w:rPr>
        <w:t xml:space="preserve">Streaming example with cancellation:</w:t>
      </w:r>
    </w:p>
    <w:p>
      <w:pPr>
        <w:pStyle w:val="SourceCode"/>
      </w:pPr>
      <w:r>
        <w:rPr>
          <w:rStyle w:val="CommentTok"/>
        </w:rPr>
        <w:t xml:space="preserve">// Start streaming inference</w:t>
      </w:r>
      <w:r>
        <w:br/>
      </w:r>
      <w:r>
        <w:rPr>
          <w:rStyle w:val="KeywordTok"/>
        </w:rPr>
        <w:t xml:space="preserve">let</w:t>
      </w:r>
      <w:r>
        <w:rPr>
          <w:rStyle w:val="NormalTok"/>
        </w:rPr>
        <w:t xml:space="preserve"> </w:t>
      </w:r>
      <w:r>
        <w:rPr>
          <w:rStyle w:val="VariableTok"/>
        </w:rPr>
        <w:t xml:space="preserve">stream</w:t>
      </w:r>
      <w:r>
        <w:rPr>
          <w:rStyle w:val="NormalTok"/>
        </w:rPr>
        <w:t xml:space="preserve"> </w:t>
      </w:r>
      <w:r>
        <w:rPr>
          <w:rStyle w:val="OperatorTok"/>
        </w:rPr>
        <w:t xml:space="preserve">=</w:t>
      </w:r>
      <w:r>
        <w:rPr>
          <w:rStyle w:val="NormalTok"/>
        </w:rPr>
        <w:t xml:space="preserve"> engine</w:t>
      </w:r>
      <w:r>
        <w:rPr>
          <w:rStyle w:val="OperatorTok"/>
        </w:rPr>
        <w:t xml:space="preserve">.</w:t>
      </w:r>
      <w:r>
        <w:rPr>
          <w:rStyle w:val="NormalTok"/>
        </w:rPr>
        <w:t xml:space="preserve">generateStream</w:t>
      </w:r>
      <w:r>
        <w:rPr>
          <w:rStyle w:val="OperatorTok"/>
        </w:rPr>
        <w:t xml:space="preserve">(</w:t>
      </w:r>
      <w:r>
        <w:rPr>
          <w:rStyle w:val="NormalTok"/>
        </w:rPr>
        <w:t xml:space="preserve">InferenceParams</w:t>
      </w:r>
      <w:r>
        <w:rPr>
          <w:rStyle w:val="OperatorTok"/>
        </w:rPr>
        <w:t xml:space="preserve">(</w:t>
      </w:r>
      <w:r>
        <w:br/>
      </w:r>
      <w:r>
        <w:rPr>
          <w:rStyle w:val="NormalTok"/>
        </w:rPr>
        <w:t xml:space="preserve">    prompt</w:t>
      </w:r>
      <w:r>
        <w:rPr>
          <w:rStyle w:val="OperatorTok"/>
        </w:rPr>
        <w:t xml:space="preserve">:</w:t>
      </w:r>
      <w:r>
        <w:rPr>
          <w:rStyle w:val="NormalTok"/>
        </w:rPr>
        <w:t xml:space="preserve"> </w:t>
      </w:r>
      <w:r>
        <w:rPr>
          <w:rStyle w:val="StringTok"/>
        </w:rPr>
        <w:t xml:space="preserve">"Classify this transaction..."</w:t>
      </w:r>
      <w:r>
        <w:rPr>
          <w:rStyle w:val="OperatorTok"/>
        </w:rPr>
        <w:t xml:space="preserve">,</w:t>
      </w:r>
      <w:r>
        <w:br/>
      </w:r>
      <w:r>
        <w:rPr>
          <w:rStyle w:val="NormalTok"/>
        </w:rPr>
        <w:t xml:space="preserve">    maxTokens</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temperature</w:t>
      </w:r>
      <w:r>
        <w:rPr>
          <w:rStyle w:val="OperatorTok"/>
        </w:rPr>
        <w:t xml:space="preserve">:</w:t>
      </w:r>
      <w:r>
        <w:rPr>
          <w:rStyle w:val="NormalTok"/>
        </w:rPr>
        <w:t xml:space="preserve"> </w:t>
      </w:r>
      <w:r>
        <w:rPr>
          <w:rStyle w:val="FloatTok"/>
        </w:rPr>
        <w:t xml:space="preserve">0.0</w:t>
      </w:r>
      <w:r>
        <w:br/>
      </w:r>
      <w:r>
        <w:rPr>
          <w:rStyle w:val="OperatorTok"/>
        </w:rPr>
        <w:t xml:space="preserve">))</w:t>
      </w:r>
      <w:r>
        <w:br/>
      </w:r>
      <w:r>
        <w:br/>
      </w:r>
      <w:r>
        <w:rPr>
          <w:rStyle w:val="CommentTok"/>
        </w:rPr>
        <w:t xml:space="preserve">// Consume tokens with implicit cancellation via task</w:t>
      </w:r>
      <w:r>
        <w:br/>
      </w:r>
      <w:r>
        <w:rPr>
          <w:rStyle w:val="KeywordTok"/>
        </w:rPr>
        <w:t xml:space="preserve">let</w:t>
      </w:r>
      <w:r>
        <w:rPr>
          <w:rStyle w:val="NormalTok"/>
        </w:rPr>
        <w:t xml:space="preserve"> </w:t>
      </w:r>
      <w:r>
        <w:rPr>
          <w:rStyle w:val="VariableTok"/>
        </w:rPr>
        <w:t xml:space="preserve">task</w:t>
      </w:r>
      <w:r>
        <w:rPr>
          <w:rStyle w:val="NormalTok"/>
        </w:rPr>
        <w:t xml:space="preserve"> </w:t>
      </w:r>
      <w:r>
        <w:rPr>
          <w:rStyle w:val="OperatorTok"/>
        </w:rPr>
        <w:t xml:space="preserve">=</w:t>
      </w:r>
      <w:r>
        <w:rPr>
          <w:rStyle w:val="NormalTok"/>
        </w:rPr>
        <w:t xml:space="preserve"> Task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ControlFlowTok"/>
        </w:rPr>
        <w:t xml:space="preserve">try</w:t>
      </w:r>
      <w:r>
        <w:rPr>
          <w:rStyle w:val="NormalTok"/>
        </w:rPr>
        <w:t xml:space="preserve"> </w:t>
      </w:r>
      <w:r>
        <w:rPr>
          <w:rStyle w:val="ControlFlowTok"/>
        </w:rPr>
        <w:t xml:space="preserve">await</w:t>
      </w:r>
      <w:r>
        <w:rPr>
          <w:rStyle w:val="NormalTok"/>
        </w:rPr>
        <w:t xml:space="preserve"> token </w:t>
      </w:r>
      <w:r>
        <w:rPr>
          <w:rStyle w:val="ControlFlowTok"/>
        </w:rPr>
        <w:t xml:space="preserve">in</w:t>
      </w:r>
      <w:r>
        <w:rPr>
          <w:rStyle w:val="NormalTok"/>
        </w:rPr>
        <w:t xml:space="preserve"> stream </w:t>
      </w:r>
      <w:r>
        <w:rPr>
          <w:rStyle w:val="OperatorTok"/>
        </w:rPr>
        <w:t xml:space="preserve">{</w:t>
      </w:r>
      <w:r>
        <w:br/>
      </w:r>
      <w:r>
        <w:rPr>
          <w:rStyle w:val="NormalTok"/>
        </w:rPr>
        <w:t xml:space="preserve">        </w:t>
      </w:r>
      <w:r>
        <w:rPr>
          <w:rStyle w:val="CommentTok"/>
        </w:rPr>
        <w:t xml:space="preserve">// token.text: String — the generated text fragment</w:t>
      </w:r>
      <w:r>
        <w:br/>
      </w:r>
      <w:r>
        <w:rPr>
          <w:rStyle w:val="NormalTok"/>
        </w:rPr>
        <w:t xml:space="preserve">        </w:t>
      </w:r>
      <w:r>
        <w:rPr>
          <w:rStyle w:val="CommentTok"/>
        </w:rPr>
        <w:t xml:space="preserve">// token.isFinal: Bool — last token in sequence</w:t>
      </w:r>
      <w:r>
        <w:br/>
      </w:r>
      <w:r>
        <w:rPr>
          <w:rStyle w:val="NormalTok"/>
        </w:rPr>
        <w:t xml:space="preserve">        updateUI</w:t>
      </w:r>
      <w:r>
        <w:rPr>
          <w:rStyle w:val="OperatorTok"/>
        </w:rPr>
        <w:t xml:space="preserve">(</w:t>
      </w:r>
      <w:r>
        <w:rPr>
          <w:rStyle w:val="NormalTok"/>
        </w:rPr>
        <w:t xml:space="preserve">with</w:t>
      </w:r>
      <w:r>
        <w:rPr>
          <w:rStyle w:val="OperatorTok"/>
        </w:rPr>
        <w:t xml:space="preserve">:</w:t>
      </w:r>
      <w:r>
        <w:rPr>
          <w:rStyle w:val="NormalTok"/>
        </w:rPr>
        <w:t xml:space="preserve"> token</w:t>
      </w:r>
      <w:r>
        <w:rPr>
          <w:rStyle w:val="OperatorTok"/>
        </w:rPr>
        <w:t xml:space="preserve">.</w:t>
      </w:r>
      <w:r>
        <w:rPr>
          <w:rStyle w:val="NormalTok"/>
        </w:rPr>
        <w:t xml:space="preserve">text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Cancel at any time — drops the stream, stops generation</w:t>
      </w:r>
      <w:r>
        <w:br/>
      </w:r>
      <w:r>
        <w:rPr>
          <w:rStyle w:val="NormalTok"/>
        </w:rPr>
        <w:t xml:space="preserve">task</w:t>
      </w:r>
      <w:r>
        <w:rPr>
          <w:rStyle w:val="OperatorTok"/>
        </w:rPr>
        <w:t xml:space="preserve">.</w:t>
      </w:r>
      <w:r>
        <w:rPr>
          <w:rStyle w:val="NormalTok"/>
        </w:rPr>
        <w:t xml:space="preserve">cancel</w:t>
      </w:r>
      <w:r>
        <w:rPr>
          <w:rStyle w:val="OperatorTok"/>
        </w:rPr>
        <w:t xml:space="preserve">()</w:t>
      </w:r>
    </w:p>
    <w:p>
      <w:pPr>
        <w:pStyle w:val="FirstParagraph"/>
      </w:pPr>
      <w:r>
        <w:rPr>
          <w:b/>
          <w:bCs/>
        </w:rPr>
        <w:t xml:space="preserve">Architecture layers:</w:t>
      </w:r>
    </w:p>
    <w:p>
      <w:pPr>
        <w:pStyle w:val="SourceCode"/>
      </w:pPr>
      <w:r>
        <w:rPr>
          <w:rStyle w:val="VerbatimChar"/>
        </w:rPr>
        <w:t xml:space="preserve">Swift caller (SwiftUI views, ViewModels)</w:t>
      </w:r>
      <w:r>
        <w:br/>
      </w:r>
      <w:r>
        <w:rPr>
          <w:rStyle w:val="VerbatimChar"/>
        </w:rPr>
        <w:t xml:space="preserve">    ↓</w:t>
      </w:r>
      <w:r>
        <w:br/>
      </w:r>
      <w:r>
        <w:rPr>
          <w:rStyle w:val="VerbatimChar"/>
        </w:rPr>
        <w:t xml:space="preserve">LFMEngine (Swift, @MainActor ObservableObject)</w:t>
      </w:r>
      <w:r>
        <w:br/>
      </w:r>
      <w:r>
        <w:rPr>
          <w:rStyle w:val="VerbatimChar"/>
        </w:rPr>
        <w:t xml:space="preserve">    ↓</w:t>
      </w:r>
      <w:r>
        <w:br/>
      </w:r>
      <w:r>
        <w:rPr>
          <w:rStyle w:val="VerbatimChar"/>
        </w:rPr>
        <w:t xml:space="preserve">LlamaBackend (Swift actor, encapsulates C bridging)</w:t>
      </w:r>
      <w:r>
        <w:br/>
      </w:r>
      <w:r>
        <w:rPr>
          <w:rStyle w:val="VerbatimChar"/>
        </w:rPr>
        <w:t xml:space="preserve">    ↓</w:t>
      </w:r>
      <w:r>
        <w:br/>
      </w:r>
      <w:r>
        <w:rPr>
          <w:rStyle w:val="VerbatimChar"/>
        </w:rPr>
        <w:t xml:space="preserve">llama.cpp C API (llama_decode, llama_get_embeddings, etc.)</w:t>
      </w:r>
      <w:r>
        <w:br/>
      </w:r>
      <w:r>
        <w:rPr>
          <w:rStyle w:val="VerbatimChar"/>
        </w:rPr>
        <w:t xml:space="preserve">    ↓</w:t>
      </w:r>
      <w:r>
        <w:br/>
      </w:r>
      <w:r>
        <w:rPr>
          <w:rStyle w:val="VerbatimChar"/>
        </w:rPr>
        <w:t xml:space="preserve">Metal GPU (Apple Silicon)</w:t>
      </w:r>
    </w:p>
    <w:p>
      <w:pPr>
        <w:pStyle w:val="FirstParagraph"/>
      </w:pPr>
      <w:r>
        <w:t xml:space="preserve">The</w:t>
      </w:r>
      <w:r>
        <w:t xml:space="preserve"> </w:t>
      </w:r>
      <w:r>
        <w:rPr>
          <w:rStyle w:val="VerbatimChar"/>
        </w:rPr>
        <w:t xml:space="preserve">LlamaBackend</w:t>
      </w:r>
      <w:r>
        <w:t xml:space="preserve"> </w:t>
      </w:r>
      <w:r>
        <w:t xml:space="preserve">actor is the only component that touches C types. All inputs and outputs are Swift-native types (</w:t>
      </w:r>
      <w:r>
        <w:rPr>
          <w:rStyle w:val="VerbatimChar"/>
        </w:rPr>
        <w:t xml:space="preserve">String</w:t>
      </w:r>
      <w:r>
        <w:t xml:space="preserve">,</w:t>
      </w:r>
      <w:r>
        <w:t xml:space="preserve"> </w:t>
      </w:r>
      <w:r>
        <w:rPr>
          <w:rStyle w:val="VerbatimChar"/>
        </w:rPr>
        <w:t xml:space="preserve">[Float]</w:t>
      </w:r>
      <w:r>
        <w:t xml:space="preserve">,</w:t>
      </w:r>
      <w:r>
        <w:t xml:space="preserve"> </w:t>
      </w:r>
      <w:r>
        <w:rPr>
          <w:rStyle w:val="VerbatimChar"/>
        </w:rPr>
        <w:t xml:space="preserve">InferenceResult</w:t>
      </w:r>
      <w:r>
        <w:t xml:space="preserve">,</w:t>
      </w:r>
      <w:r>
        <w:t xml:space="preserve"> </w:t>
      </w:r>
      <w:r>
        <w:rPr>
          <w:rStyle w:val="VerbatimChar"/>
        </w:rPr>
        <w:t xml:space="preserve">StreamToken</w:t>
      </w:r>
      <w:r>
        <w:t xml:space="preserve">).</w:t>
      </w:r>
    </w:p>
    <w:p>
      <w:pPr>
        <w:pStyle w:val="BodyText"/>
      </w:pPr>
      <w:r>
        <w:rPr>
          <w:b/>
          <w:bCs/>
        </w:rPr>
        <w:t xml:space="preserve">Integration path forward:</w:t>
      </w:r>
      <w:r>
        <w:t xml:space="preserve"> </w:t>
      </w:r>
      <w:r>
        <w:t xml:space="preserve">For the next RBC phase, the recommended integration target is the</w:t>
      </w:r>
      <w:r>
        <w:t xml:space="preserve"> </w:t>
      </w:r>
      <w:r>
        <w:rPr>
          <w:b/>
          <w:bCs/>
        </w:rPr>
        <w:t xml:space="preserve">LEAP SDK</w:t>
      </w:r>
      <w:r>
        <w:t xml:space="preserve"> </w:t>
      </w:r>
      <w:r>
        <w:t xml:space="preserve">(</w:t>
      </w:r>
      <w:r>
        <w:rPr>
          <w:rStyle w:val="VerbatimChar"/>
        </w:rPr>
        <w:t xml:space="preserve">https://github.com/Liquid4All/leap-sdk.git</w:t>
      </w:r>
      <w:r>
        <w:t xml:space="preserve">), which provides the same concepts (</w:t>
      </w:r>
      <w:r>
        <w:rPr>
          <w:rStyle w:val="VerbatimChar"/>
        </w:rPr>
        <w:t xml:space="preserve">ModelRunner</w:t>
      </w:r>
      <w:r>
        <w:t xml:space="preserve">,</w:t>
      </w:r>
      <w:r>
        <w:t xml:space="preserve"> </w:t>
      </w:r>
      <w:r>
        <w:rPr>
          <w:rStyle w:val="VerbatimChar"/>
        </w:rPr>
        <w:t xml:space="preserve">Conversation</w:t>
      </w:r>
      <w:r>
        <w:t xml:space="preserve">,</w:t>
      </w:r>
      <w:r>
        <w:t xml:space="preserve"> </w:t>
      </w:r>
      <w:r>
        <w:rPr>
          <w:rStyle w:val="VerbatimChar"/>
        </w:rPr>
        <w:t xml:space="preserve">MessageResponse</w:t>
      </w:r>
      <w:r>
        <w:t xml:space="preserve">) across iOS, macOS, Android, JVM, Linux, and Windows. The current</w:t>
      </w:r>
      <w:r>
        <w:t xml:space="preserve"> </w:t>
      </w:r>
      <w:r>
        <w:rPr>
          <w:rStyle w:val="VerbatimChar"/>
        </w:rPr>
        <w:t xml:space="preserve">LFMEngine</w:t>
      </w:r>
      <w:r>
        <w:t xml:space="preserve"> </w:t>
      </w:r>
      <w:r>
        <w:t xml:space="preserve">wrapper is the proof artifact; LEAP is the production SDK path. The RBC-specific layers (DecisionVector, DecisionRouter, classifier heads, privacy controls) sit above LEAP as the application decision layer.</w:t>
      </w:r>
    </w:p>
    <w:bookmarkEnd w:id="31"/>
    <w:bookmarkStart w:id="34" w:name="Xf1fa282deb6ee8278f638f80dc6c992bbbefd24"/>
    <w:p>
      <w:pPr>
        <w:pStyle w:val="Heading3"/>
      </w:pPr>
      <w:r>
        <w:t xml:space="preserve">What reference applications or production case studies exist for iOS apps using this stack? Provide source code, App Store links, or verifiable production deployments.</w:t>
      </w:r>
    </w:p>
    <w:p>
      <w:pPr>
        <w:pStyle w:val="FirstParagraph"/>
      </w:pPr>
      <w:r>
        <w:rPr>
          <w:b/>
          <w:bCs/>
        </w:rPr>
        <w:t xml:space="preserve">Production partnerships (public, verifiable):</w:t>
      </w:r>
    </w:p>
    <w:tbl>
      <w:tblPr>
        <w:tblStyle w:val="Table"/>
        <w:tblW w:type="pct" w:w="5000"/>
        <w:tblLayout w:type="fixed"/>
        <w:tblLook w:firstRow="1" w:lastRow="0" w:firstColumn="0" w:lastColumn="0" w:noHBand="0" w:noVBand="0" w:val="0020"/>
      </w:tblPr>
      <w:tblGrid>
        <w:gridCol w:w="253"/>
        <w:gridCol w:w="2446"/>
        <w:gridCol w:w="2669"/>
        <w:gridCol w:w="2550"/>
      </w:tblGrid>
      <w:tr>
        <w:trPr>
          <w:tblHeader w:val="on"/>
        </w:trPr>
        <w:tc>
          <w:tcPr/>
          <w:p>
            <w:pPr>
              <w:pStyle w:val="Compact"/>
            </w:pPr>
            <w:r>
              <w:t xml:space="preserve">Partner</w:t>
            </w:r>
          </w:p>
        </w:tc>
        <w:tc>
          <w:tcPr/>
          <w:p>
            <w:pPr>
              <w:pStyle w:val="Compact"/>
            </w:pPr>
            <w:r>
              <w:t xml:space="preserve">Deployment</w:t>
            </w:r>
          </w:p>
        </w:tc>
        <w:tc>
          <w:tcPr/>
          <w:p>
            <w:pPr>
              <w:pStyle w:val="Compact"/>
            </w:pPr>
            <w:r>
              <w:t xml:space="preserve">Public Source</w:t>
            </w:r>
          </w:p>
        </w:tc>
        <w:tc>
          <w:tcPr/>
          <w:p>
            <w:pPr>
              <w:pStyle w:val="Compact"/>
            </w:pPr>
            <w:r>
              <w:t xml:space="preserve">Relevance to RBC</w:t>
            </w:r>
          </w:p>
        </w:tc>
      </w:tr>
      <w:tr>
        <w:tc>
          <w:tcPr/>
          <w:p>
            <w:pPr>
              <w:pStyle w:val="Compact"/>
            </w:pPr>
            <w:r>
              <w:rPr>
                <w:b/>
                <w:bCs/>
              </w:rPr>
              <w:t xml:space="preserve">Shopify</w:t>
            </w:r>
          </w:p>
        </w:tc>
        <w:tc>
          <w:tcPr/>
          <w:p>
            <w:pPr>
              <w:pStyle w:val="Compact"/>
            </w:pPr>
            <w:r>
              <w:t xml:space="preserve">Sub-20ms LFM in production commerce search path. Multi-year, multi-million-dollar agreement.</w:t>
            </w:r>
          </w:p>
        </w:tc>
        <w:tc>
          <w:tcPr/>
          <w:p>
            <w:pPr>
              <w:pStyle w:val="Compact"/>
            </w:pPr>
            <w:hyperlink r:id="rId32">
              <w:r>
                <w:rPr>
                  <w:rStyle w:val="Hyperlink"/>
                </w:rPr>
                <w:t xml:space="preserve">Liquid AI blog, Nov 13, 2025</w:t>
              </w:r>
            </w:hyperlink>
          </w:p>
        </w:tc>
        <w:tc>
          <w:tcPr/>
          <w:p>
            <w:pPr>
              <w:pStyle w:val="Compact"/>
            </w:pPr>
            <w:r>
              <w:t xml:space="preserve">Proves Liquid can support low-latency enterprise semantic workloads in production. Comparable pattern: stacking bounded semantic decisions in a latency-sensitive hot path.</w:t>
            </w:r>
          </w:p>
        </w:tc>
      </w:tr>
      <w:tr>
        <w:tc>
          <w:tcPr/>
          <w:p>
            <w:pPr>
              <w:pStyle w:val="Compact"/>
            </w:pPr>
            <w:r>
              <w:rPr>
                <w:b/>
                <w:bCs/>
              </w:rPr>
              <w:t xml:space="preserve">Mercedes-Benz</w:t>
            </w:r>
          </w:p>
        </w:tc>
        <w:tc>
          <w:tcPr/>
          <w:p>
            <w:pPr>
              <w:pStyle w:val="Compact"/>
            </w:pPr>
            <w:r>
              <w:t xml:space="preserve">Embedded on-device intelligence for MBUX vehicles (3rd/4th gen). Multi-year partnership. First production deployment of advanced speech technology targeted H2 2026.</w:t>
            </w:r>
          </w:p>
        </w:tc>
        <w:tc>
          <w:tcPr/>
          <w:p>
            <w:pPr>
              <w:pStyle w:val="Compact"/>
            </w:pPr>
            <w:hyperlink r:id="rId33">
              <w:r>
                <w:rPr>
                  <w:rStyle w:val="Hyperlink"/>
                </w:rPr>
                <w:t xml:space="preserve">Mercedes-Benz Group announcement, Apr 23, 2026</w:t>
              </w:r>
            </w:hyperlink>
          </w:p>
        </w:tc>
        <w:tc>
          <w:tcPr/>
          <w:p>
            <w:pPr>
              <w:pStyle w:val="Compact"/>
            </w:pPr>
            <w:r>
              <w:t xml:space="preserve">Proves Liquid can partner on embedded/on-device intelligence where local, private, low-latency execution matters. Analogous constraint: the mobile banking edge.</w:t>
            </w:r>
          </w:p>
        </w:tc>
      </w:tr>
    </w:tbl>
    <w:p>
      <w:pPr>
        <w:pStyle w:val="BodyText"/>
      </w:pPr>
      <w:r>
        <w:rPr>
          <w:b/>
          <w:bCs/>
        </w:rPr>
        <w:t xml:space="preserve">RBC iOS POC (this project):</w:t>
      </w:r>
    </w:p>
    <w:p>
      <w:pPr>
        <w:pStyle w:val="BodyText"/>
      </w:pPr>
      <w:r>
        <w:t xml:space="preserve">The RBC iOS banking POC is a working iPhone application with:</w:t>
      </w:r>
    </w:p>
    <w:p>
      <w:pPr>
        <w:pStyle w:val="Compact"/>
        <w:numPr>
          <w:ilvl w:val="0"/>
          <w:numId w:val="1011"/>
        </w:numPr>
      </w:pPr>
      <w:r>
        <w:t xml:space="preserve">LFM2.5-350M running on-device via Metal GPU</w:t>
      </w:r>
    </w:p>
    <w:p>
      <w:pPr>
        <w:pStyle w:val="Compact"/>
        <w:numPr>
          <w:ilvl w:val="0"/>
          <w:numId w:val="1011"/>
        </w:numPr>
      </w:pPr>
      <w:r>
        <w:t xml:space="preserve">15 classifier heads for 14 simultaneous banking classifications in ~40ms</w:t>
      </w:r>
    </w:p>
    <w:p>
      <w:pPr>
        <w:pStyle w:val="Compact"/>
        <w:numPr>
          <w:ilvl w:val="0"/>
          <w:numId w:val="1011"/>
        </w:numPr>
      </w:pPr>
      <w:r>
        <w:t xml:space="preserve">Full privacy pipeline (PII detection, egress guard, consent-gated cloud fallback)</w:t>
      </w:r>
    </w:p>
    <w:p>
      <w:pPr>
        <w:pStyle w:val="Compact"/>
        <w:numPr>
          <w:ilvl w:val="0"/>
          <w:numId w:val="1011"/>
        </w:numPr>
      </w:pPr>
      <w:r>
        <w:t xml:space="preserve">Competitive benchmarks against Qwen3-0.6B and Gemma3-270M (measured on iPhone 14 Pro)</w:t>
      </w:r>
    </w:p>
    <w:p>
      <w:pPr>
        <w:pStyle w:val="Compact"/>
        <w:numPr>
          <w:ilvl w:val="0"/>
          <w:numId w:val="1011"/>
        </w:numPr>
      </w:pPr>
      <w:r>
        <w:t xml:space="preserve">200-run thermal stress tests with energy profiling</w:t>
      </w:r>
    </w:p>
    <w:p>
      <w:pPr>
        <w:pStyle w:val="FirstParagraph"/>
      </w:pPr>
      <w:r>
        <w:t xml:space="preserve">This is a POC, not a GA product or App Store listing. It demonstrates the architecture, performance, and privacy properties that RBC would deploy in production.</w:t>
      </w:r>
    </w:p>
    <w:p>
      <w:pPr>
        <w:pStyle w:val="BodyText"/>
      </w:pPr>
      <w:r>
        <w:rPr>
          <w:b/>
          <w:bCs/>
        </w:rPr>
        <w:t xml:space="preserve">Source code:</w:t>
      </w:r>
      <w:r>
        <w:t xml:space="preserve"> </w:t>
      </w:r>
      <w:r>
        <w:t xml:space="preserve">Available for RBC technical review under NDA. The POC lives in the</w:t>
      </w:r>
      <w:r>
        <w:t xml:space="preserve"> </w:t>
      </w:r>
      <w:r>
        <w:rPr>
          <w:rStyle w:val="VerbatimChar"/>
        </w:rPr>
        <w:t xml:space="preserve">apps/ios/</w:t>
      </w:r>
      <w:r>
        <w:t xml:space="preserve"> </w:t>
      </w:r>
      <w:r>
        <w:t xml:space="preserve">directory of the Liquid LFM Cloud monorepo.</w:t>
      </w:r>
    </w:p>
    <w:p>
      <w:pPr>
        <w:pStyle w:val="BodyText"/>
      </w:pPr>
      <w:r>
        <w:rPr>
          <w:b/>
          <w:bCs/>
        </w:rPr>
        <w:t xml:space="preserve">What these references prove and don’t prove:</w:t>
      </w:r>
    </w:p>
    <w:tbl>
      <w:tblPr>
        <w:tblStyle w:val="Table"/>
        <w:tblW w:type="pct" w:w="5000"/>
        <w:tblLayout w:type="fixed"/>
        <w:tblLook w:firstRow="1" w:lastRow="0" w:firstColumn="0" w:lastColumn="0" w:noHBand="0" w:noVBand="0" w:val="0020"/>
      </w:tblPr>
      <w:tblGrid>
        <w:gridCol w:w="485"/>
        <w:gridCol w:w="4296"/>
        <w:gridCol w:w="3138"/>
      </w:tblGrid>
      <w:tr>
        <w:trPr>
          <w:tblHeader w:val="on"/>
        </w:trPr>
        <w:tc>
          <w:tcPr/>
          <w:p>
            <w:pPr>
              <w:pStyle w:val="Compact"/>
            </w:pPr>
            <w:r>
              <w:t xml:space="preserve">Reference</w:t>
            </w:r>
          </w:p>
        </w:tc>
        <w:tc>
          <w:tcPr/>
          <w:p>
            <w:pPr>
              <w:pStyle w:val="Compact"/>
            </w:pPr>
            <w:r>
              <w:t xml:space="preserve">Proves</w:t>
            </w:r>
          </w:p>
        </w:tc>
        <w:tc>
          <w:tcPr/>
          <w:p>
            <w:pPr>
              <w:pStyle w:val="Compact"/>
            </w:pPr>
            <w:r>
              <w:t xml:space="preserve">Does Not Prove</w:t>
            </w:r>
          </w:p>
        </w:tc>
      </w:tr>
      <w:tr>
        <w:tc>
          <w:tcPr/>
          <w:p>
            <w:pPr>
              <w:pStyle w:val="Compact"/>
            </w:pPr>
            <w:r>
              <w:t xml:space="preserve">Shopify</w:t>
            </w:r>
          </w:p>
        </w:tc>
        <w:tc>
          <w:tcPr/>
          <w:p>
            <w:pPr>
              <w:pStyle w:val="Compact"/>
            </w:pPr>
            <w:r>
              <w:t xml:space="preserve">Liquid can put efficient foundation models into production paths where latency, quality, and business impact matter</w:t>
            </w:r>
          </w:p>
        </w:tc>
        <w:tc>
          <w:tcPr/>
          <w:p>
            <w:pPr>
              <w:pStyle w:val="Compact"/>
            </w:pPr>
            <w:r>
              <w:t xml:space="preserve">RBC banking ROI, compliance readiness, or RBC-specific routing accuracy</w:t>
            </w:r>
          </w:p>
        </w:tc>
      </w:tr>
      <w:tr>
        <w:tc>
          <w:tcPr/>
          <w:p>
            <w:pPr>
              <w:pStyle w:val="Compact"/>
            </w:pPr>
            <w:r>
              <w:t xml:space="preserve">Mercedes-Benz</w:t>
            </w:r>
          </w:p>
        </w:tc>
        <w:tc>
          <w:tcPr/>
          <w:p>
            <w:pPr>
              <w:pStyle w:val="Compact"/>
            </w:pPr>
            <w:r>
              <w:t xml:space="preserve">Liquid can partner on embedded/on-device intelligence where cloud dependence is unacceptable</w:t>
            </w:r>
          </w:p>
        </w:tc>
        <w:tc>
          <w:tcPr/>
          <w:p>
            <w:pPr>
              <w:pStyle w:val="Compact"/>
            </w:pPr>
            <w:r>
              <w:t xml:space="preserve">The RBC mobile app is production-ready or that voice/vision are in scope for Phase 1</w:t>
            </w:r>
          </w:p>
        </w:tc>
      </w:tr>
      <w:tr>
        <w:tc>
          <w:tcPr/>
          <w:p>
            <w:pPr>
              <w:pStyle w:val="Compact"/>
            </w:pPr>
            <w:r>
              <w:t xml:space="preserve">RBC iOS POC</w:t>
            </w:r>
          </w:p>
        </w:tc>
        <w:tc>
          <w:tcPr/>
          <w:p>
            <w:pPr>
              <w:pStyle w:val="Compact"/>
            </w:pPr>
            <w:r>
              <w:t xml:space="preserve">Working on-device banking intelligence with LFM2.5-350M and multi-head Decision Layer</w:t>
            </w:r>
          </w:p>
        </w:tc>
        <w:tc>
          <w:tcPr/>
          <w:p>
            <w:pPr>
              <w:pStyle w:val="Compact"/>
            </w:pPr>
            <w:r>
              <w:t xml:space="preserve">GA readiness, SOC 2 attestation, or final RBC taxonomy</w:t>
            </w:r>
          </w:p>
        </w:tc>
      </w:tr>
    </w:tbl>
    <w:p>
      <w:r>
        <w:pict>
          <v:rect style="width:0;height:1.5pt" o:hralign="center" o:hrstd="t" o:hr="t"/>
        </w:pict>
      </w:r>
    </w:p>
    <w:bookmarkEnd w:id="34"/>
    <w:bookmarkEnd w:id="35"/>
    <w:bookmarkStart w:id="37" w:name="roadmap"/>
    <w:p>
      <w:pPr>
        <w:pStyle w:val="Heading2"/>
      </w:pPr>
      <w:r>
        <w:t xml:space="preserve">Roadmap</w:t>
      </w:r>
    </w:p>
    <w:bookmarkStart w:id="36" w:name="X9710f58db3d542c9ff60c927683fcad24723162"/>
    <w:p>
      <w:pPr>
        <w:pStyle w:val="Heading3"/>
      </w:pPr>
      <w:r>
        <w:t xml:space="preserve">What is the roadmap for Apple Intelligence integration — will your models or SDK interoperate with the Foundation Models framework (iOS 26+) for hybrid on-device + AFM workflows?</w:t>
      </w:r>
    </w:p>
    <w:p>
      <w:pPr>
        <w:pStyle w:val="FirstParagraph"/>
      </w:pPr>
      <w:r>
        <w:rPr>
          <w:b/>
          <w:bCs/>
        </w:rPr>
        <w:t xml:space="preserve">Apple Intelligence and Liquid LFMs address different layers of the mobile AI stack.</w:t>
      </w:r>
      <w:r>
        <w:t xml:space="preserve"> </w:t>
      </w:r>
      <w:r>
        <w:t xml:space="preserve">The recommended architecture is complementary, not competitive.</w:t>
      </w:r>
    </w:p>
    <w:p>
      <w:pPr>
        <w:pStyle w:val="BodyText"/>
      </w:pPr>
      <w:r>
        <w:rPr>
          <w:b/>
          <w:bCs/>
        </w:rPr>
        <w:t xml:space="preserve">Role separation:</w:t>
      </w:r>
    </w:p>
    <w:tbl>
      <w:tblPr>
        <w:tblStyle w:val="Table"/>
        <w:tblW w:type="pct" w:w="5000"/>
        <w:tblLayout w:type="fixed"/>
        <w:tblLook w:firstRow="1" w:lastRow="0" w:firstColumn="0" w:lastColumn="0" w:noHBand="0" w:noVBand="0" w:val="0020"/>
      </w:tblPr>
      <w:tblGrid>
        <w:gridCol w:w="729"/>
        <w:gridCol w:w="4450"/>
        <w:gridCol w:w="2740"/>
      </w:tblGrid>
      <w:tr>
        <w:trPr>
          <w:tblHeader w:val="on"/>
        </w:trPr>
        <w:tc>
          <w:tcPr/>
          <w:p>
            <w:pPr>
              <w:pStyle w:val="Compact"/>
            </w:pPr>
            <w:r>
              <w:t xml:space="preserve">Layer</w:t>
            </w:r>
          </w:p>
        </w:tc>
        <w:tc>
          <w:tcPr/>
          <w:p>
            <w:pPr>
              <w:pStyle w:val="Compact"/>
            </w:pPr>
            <w:r>
              <w:t xml:space="preserve">Best Fit</w:t>
            </w:r>
          </w:p>
        </w:tc>
        <w:tc>
          <w:tcPr/>
          <w:p>
            <w:pPr>
              <w:pStyle w:val="Compact"/>
            </w:pPr>
            <w:r>
              <w:t xml:space="preserve">Why It Matters for RBC</w:t>
            </w:r>
          </w:p>
        </w:tc>
      </w:tr>
      <w:tr>
        <w:tc>
          <w:tcPr/>
          <w:p>
            <w:pPr>
              <w:pStyle w:val="Compact"/>
            </w:pPr>
            <w:r>
              <w:rPr>
                <w:b/>
                <w:bCs/>
              </w:rPr>
              <w:t xml:space="preserve">Apple Intelligence / AFM</w:t>
            </w:r>
          </w:p>
        </w:tc>
        <w:tc>
          <w:tcPr/>
          <w:p>
            <w:pPr>
              <w:pStyle w:val="Compact"/>
            </w:pPr>
            <w:r>
              <w:t xml:space="preserve">OS-native assistance: summarization, rewriting, App Intents, tool calling, guided generation, iOS UX integration</w:t>
            </w:r>
          </w:p>
        </w:tc>
        <w:tc>
          <w:tcPr/>
          <w:p>
            <w:pPr>
              <w:pStyle w:val="Compact"/>
            </w:pPr>
            <w:r>
              <w:t xml:space="preserve">RBC can leverage capabilities already in the Apple ecosystem without rebuilding generic assistant features</w:t>
            </w:r>
          </w:p>
        </w:tc>
      </w:tr>
      <w:tr>
        <w:tc>
          <w:tcPr/>
          <w:p>
            <w:pPr>
              <w:pStyle w:val="Compact"/>
            </w:pPr>
            <w:r>
              <w:rPr>
                <w:b/>
                <w:bCs/>
              </w:rPr>
              <w:t xml:space="preserve">Liquid LFM Decision Layer</w:t>
            </w:r>
          </w:p>
        </w:tc>
        <w:tc>
          <w:tcPr/>
          <w:p>
            <w:pPr>
              <w:pStyle w:val="Compact"/>
            </w:pPr>
            <w:r>
              <w:t xml:space="preserve">Banking-specific intelligence: intent routing, PII detection, fraud/dispute signals, compliance flags, transaction enrichment, escalation routing, deterministic policy execution</w:t>
            </w:r>
          </w:p>
        </w:tc>
        <w:tc>
          <w:tcPr/>
          <w:p>
            <w:pPr>
              <w:pStyle w:val="Compact"/>
            </w:pPr>
            <w:r>
              <w:t xml:space="preserve">RBC owns the taxonomy, evals, thresholds, routing policy, and release process for regulated banking decisions</w:t>
            </w:r>
          </w:p>
        </w:tc>
      </w:tr>
    </w:tbl>
    <w:p>
      <w:pPr>
        <w:pStyle w:val="BodyText"/>
      </w:pPr>
      <w:r>
        <w:rPr>
          <w:b/>
          <w:bCs/>
        </w:rPr>
        <w:t xml:space="preserve">Why Liquid remains differentiated alongside Apple Intelligence:</w:t>
      </w:r>
    </w:p>
    <w:tbl>
      <w:tblPr>
        <w:tblStyle w:val="Table"/>
        <w:tblW w:type="pct" w:w="5000"/>
        <w:tblLayout w:type="fixed"/>
        <w:tblLook w:firstRow="1" w:lastRow="0" w:firstColumn="0" w:lastColumn="0" w:noHBand="0" w:noVBand="0" w:val="0020"/>
      </w:tblPr>
      <w:tblGrid>
        <w:gridCol w:w="969"/>
        <w:gridCol w:w="3117"/>
        <w:gridCol w:w="3833"/>
      </w:tblGrid>
      <w:tr>
        <w:trPr>
          <w:tblHeader w:val="on"/>
        </w:trPr>
        <w:tc>
          <w:tcPr/>
          <w:p>
            <w:pPr>
              <w:pStyle w:val="Compact"/>
            </w:pPr>
            <w:r>
              <w:t xml:space="preserve">RBC Requirement</w:t>
            </w:r>
          </w:p>
        </w:tc>
        <w:tc>
          <w:tcPr/>
          <w:p>
            <w:pPr>
              <w:pStyle w:val="Compact"/>
            </w:pPr>
            <w:r>
              <w:t xml:space="preserve">Apple Intelligence Consideration</w:t>
            </w:r>
          </w:p>
        </w:tc>
        <w:tc>
          <w:tcPr/>
          <w:p>
            <w:pPr>
              <w:pStyle w:val="Compact"/>
            </w:pPr>
            <w:r>
              <w:t xml:space="preserve">Liquid LFM Path</w:t>
            </w:r>
          </w:p>
        </w:tc>
      </w:tr>
      <w:tr>
        <w:tc>
          <w:tcPr/>
          <w:p>
            <w:pPr>
              <w:pStyle w:val="Compact"/>
            </w:pPr>
            <w:r>
              <w:rPr>
                <w:b/>
                <w:bCs/>
              </w:rPr>
              <w:t xml:space="preserve">Cross-platform consistency</w:t>
            </w:r>
          </w:p>
        </w:tc>
        <w:tc>
          <w:tcPr/>
          <w:p>
            <w:pPr>
              <w:pStyle w:val="Compact"/>
            </w:pPr>
            <w:r>
              <w:t xml:space="preserve">Apple Intelligence is strongest on Apple platforms. No Android parity for the same banking intelligence layer.</w:t>
            </w:r>
          </w:p>
        </w:tc>
        <w:tc>
          <w:tcPr/>
          <w:p>
            <w:pPr>
              <w:pStyle w:val="Compact"/>
            </w:pPr>
            <w:r>
              <w:t xml:space="preserve">Same model family, eval discipline, and deployment workflow across iOS, Android, desktop, and other edge targets via LEAP SDK.</w:t>
            </w:r>
          </w:p>
        </w:tc>
      </w:tr>
      <w:tr>
        <w:tc>
          <w:tcPr/>
          <w:p>
            <w:pPr>
              <w:pStyle w:val="Compact"/>
            </w:pPr>
            <w:r>
              <w:rPr>
                <w:b/>
                <w:bCs/>
              </w:rPr>
              <w:t xml:space="preserve">Many specialized banking skills</w:t>
            </w:r>
          </w:p>
        </w:tc>
        <w:tc>
          <w:tcPr/>
          <w:p>
            <w:pPr>
              <w:pStyle w:val="Compact"/>
            </w:pPr>
            <w:r>
              <w:t xml:space="preserve">Apple adapters are ~160 MB each, tied to specific OS/model versions. Supporting many skills creates packaging and lifecycle complexity.</w:t>
            </w:r>
          </w:p>
        </w:tc>
        <w:tc>
          <w:tcPr/>
          <w:p>
            <w:pPr>
              <w:pStyle w:val="Compact"/>
            </w:pPr>
            <w:r>
              <w:t xml:space="preserve">One shared classification adapter for 14 heads reduces footprint from ~320 MB (if done with Apple adapters) to ~23 MB, while preserving multi-skill routing.</w:t>
            </w:r>
          </w:p>
        </w:tc>
      </w:tr>
      <w:tr>
        <w:tc>
          <w:tcPr/>
          <w:p>
            <w:pPr>
              <w:pStyle w:val="Compact"/>
            </w:pPr>
            <w:r>
              <w:rPr>
                <w:b/>
                <w:bCs/>
              </w:rPr>
              <w:t xml:space="preserve">Deterministic routing and auditability</w:t>
            </w:r>
          </w:p>
        </w:tc>
        <w:tc>
          <w:tcPr/>
          <w:p>
            <w:pPr>
              <w:pStyle w:val="Compact"/>
            </w:pPr>
            <w:r>
              <w:t xml:space="preserve">AFM produces structured outputs but is not a bank-specific multi-head classifier/router.</w:t>
            </w:r>
          </w:p>
        </w:tc>
        <w:tc>
          <w:tcPr/>
          <w:p>
            <w:pPr>
              <w:pStyle w:val="Compact"/>
            </w:pPr>
            <w:r>
              <w:t xml:space="preserve">DecisionVector emits typed signals from one local pass, then passes to RBC-owned synchronous policy code. Testable, versionable, auditable independently of the model.</w:t>
            </w:r>
          </w:p>
        </w:tc>
      </w:tr>
      <w:tr>
        <w:tc>
          <w:tcPr/>
          <w:p>
            <w:pPr>
              <w:pStyle w:val="Compact"/>
            </w:pPr>
            <w:r>
              <w:rPr>
                <w:b/>
                <w:bCs/>
              </w:rPr>
              <w:t xml:space="preserve">Regulated data handling</w:t>
            </w:r>
          </w:p>
        </w:tc>
        <w:tc>
          <w:tcPr/>
          <w:p>
            <w:pPr>
              <w:pStyle w:val="Compact"/>
            </w:pPr>
            <w:r>
              <w:t xml:space="preserve">On-device assists privacy, but RBC still needs explicit policy for classification, redaction, blocking, escalation.</w:t>
            </w:r>
          </w:p>
        </w:tc>
        <w:tc>
          <w:tcPr/>
          <w:p>
            <w:pPr>
              <w:pStyle w:val="Compact"/>
            </w:pPr>
            <w:r>
              <w:t xml:space="preserve">PII, risk, compliance, and escalation decisions are first-class model outputs before any data leaves the device.</w:t>
            </w:r>
          </w:p>
        </w:tc>
      </w:tr>
      <w:tr>
        <w:tc>
          <w:tcPr/>
          <w:p>
            <w:pPr>
              <w:pStyle w:val="Compact"/>
            </w:pPr>
            <w:r>
              <w:rPr>
                <w:b/>
                <w:bCs/>
              </w:rPr>
              <w:t xml:space="preserve">Model evolution</w:t>
            </w:r>
          </w:p>
        </w:tc>
        <w:tc>
          <w:tcPr/>
          <w:p>
            <w:pPr>
              <w:pStyle w:val="Compact"/>
            </w:pPr>
            <w:r>
              <w:t xml:space="preserve">RBC can adopt what the platform exposes but cannot direct Apple’s model architecture or adapter roadmap.</w:t>
            </w:r>
          </w:p>
        </w:tc>
        <w:tc>
          <w:tcPr/>
          <w:p>
            <w:pPr>
              <w:pStyle w:val="Compact"/>
            </w:pPr>
            <w:r>
              <w:t xml:space="preserve">Liquid works directly with RBC ML, mobile, and security teams on taxonomy, evals, training, benchmarks, and production hardening.</w:t>
            </w:r>
          </w:p>
        </w:tc>
      </w:tr>
    </w:tbl>
    <w:p>
      <w:pPr>
        <w:pStyle w:val="BodyText"/>
      </w:pPr>
      <w:r>
        <w:rPr>
          <w:b/>
          <w:bCs/>
        </w:rPr>
        <w:t xml:space="preserve">Coexistence examples:</w:t>
      </w:r>
    </w:p>
    <w:tbl>
      <w:tblPr>
        <w:tblStyle w:val="Table"/>
        <w:tblW w:type="pct" w:w="5000"/>
        <w:tblLayout w:type="fixed"/>
        <w:tblLook w:firstRow="1" w:lastRow="0" w:firstColumn="0" w:lastColumn="0" w:noHBand="0" w:noVBand="0" w:val="0020"/>
      </w:tblPr>
      <w:tblGrid>
        <w:gridCol w:w="1811"/>
        <w:gridCol w:w="2064"/>
        <w:gridCol w:w="4044"/>
      </w:tblGrid>
      <w:tr>
        <w:trPr>
          <w:tblHeader w:val="on"/>
        </w:trPr>
        <w:tc>
          <w:tcPr/>
          <w:p>
            <w:pPr>
              <w:pStyle w:val="Compact"/>
            </w:pPr>
            <w:r>
              <w:t xml:space="preserve">RBC Workflow</w:t>
            </w:r>
          </w:p>
        </w:tc>
        <w:tc>
          <w:tcPr/>
          <w:p>
            <w:pPr>
              <w:pStyle w:val="Compact"/>
            </w:pPr>
            <w:r>
              <w:t xml:space="preserve">Apple Intelligence Role</w:t>
            </w:r>
          </w:p>
        </w:tc>
        <w:tc>
          <w:tcPr/>
          <w:p>
            <w:pPr>
              <w:pStyle w:val="Compact"/>
            </w:pPr>
            <w:r>
              <w:t xml:space="preserve">Liquid LFM Role</w:t>
            </w:r>
          </w:p>
        </w:tc>
      </w:tr>
      <w:tr>
        <w:tc>
          <w:tcPr/>
          <w:p>
            <w:pPr>
              <w:pStyle w:val="Compact"/>
            </w:pPr>
            <w:r>
              <w:t xml:space="preserve">Customer asks a support question</w:t>
            </w:r>
          </w:p>
        </w:tc>
        <w:tc>
          <w:tcPr/>
          <w:p>
            <w:pPr>
              <w:pStyle w:val="Compact"/>
            </w:pPr>
            <w:r>
              <w:t xml:space="preserve">Summarize or rewrite generic support text</w:t>
            </w:r>
          </w:p>
        </w:tc>
        <w:tc>
          <w:tcPr/>
          <w:p>
            <w:pPr>
              <w:pStyle w:val="Compact"/>
            </w:pPr>
            <w:r>
              <w:t xml:space="preserve">Classify banking intent, risk level, product context, policy compliance</w:t>
            </w:r>
          </w:p>
        </w:tc>
      </w:tr>
      <w:tr>
        <w:tc>
          <w:tcPr/>
          <w:p>
            <w:pPr>
              <w:pStyle w:val="Compact"/>
            </w:pPr>
            <w:r>
              <w:t xml:space="preserve">Customer asks about a transaction</w:t>
            </w:r>
          </w:p>
        </w:tc>
        <w:tc>
          <w:tcPr/>
          <w:p>
            <w:pPr>
              <w:pStyle w:val="Compact"/>
            </w:pPr>
            <w:r>
              <w:t xml:space="preserve">Assist with final wording or OS-level interaction</w:t>
            </w:r>
          </w:p>
        </w:tc>
        <w:tc>
          <w:tcPr/>
          <w:p>
            <w:pPr>
              <w:pStyle w:val="Compact"/>
            </w:pPr>
            <w:r>
              <w:t xml:space="preserve">Detect transaction intent, merchant signal, dispute/fraud risk, escalation need</w:t>
            </w:r>
          </w:p>
        </w:tc>
      </w:tr>
      <w:tr>
        <w:tc>
          <w:tcPr/>
          <w:p>
            <w:pPr>
              <w:pStyle w:val="Compact"/>
            </w:pPr>
            <w:r>
              <w:t xml:space="preserve">User invokes action from Siri / App Intents</w:t>
            </w:r>
          </w:p>
        </w:tc>
        <w:tc>
          <w:tcPr/>
          <w:p>
            <w:pPr>
              <w:pStyle w:val="Compact"/>
            </w:pPr>
            <w:r>
              <w:t xml:space="preserve">Provide native invocation and app handoff</w:t>
            </w:r>
          </w:p>
        </w:tc>
        <w:tc>
          <w:tcPr/>
          <w:p>
            <w:pPr>
              <w:pStyle w:val="Compact"/>
            </w:pPr>
            <w:r>
              <w:t xml:space="preserve">Validate action via intent, eligibility, fraud risk, PII handling, escalation policy</w:t>
            </w:r>
          </w:p>
        </w:tc>
      </w:tr>
      <w:tr>
        <w:tc>
          <w:tcPr/>
          <w:p>
            <w:pPr>
              <w:pStyle w:val="Compact"/>
            </w:pPr>
            <w:r>
              <w:t xml:space="preserve">Voice banking</w:t>
            </w:r>
          </w:p>
        </w:tc>
        <w:tc>
          <w:tcPr/>
          <w:p>
            <w:pPr>
              <w:pStyle w:val="Compact"/>
            </w:pPr>
            <w:r>
              <w:t xml:space="preserve">Provide OS-level voice surfaces</w:t>
            </w:r>
          </w:p>
        </w:tc>
        <w:tc>
          <w:tcPr/>
          <w:p>
            <w:pPr>
              <w:pStyle w:val="Compact"/>
            </w:pPr>
            <w:r>
              <w:t xml:space="preserve">Bank-specific voice intent, structured action routing, policy-aware interaction via Liquid Audio</w:t>
            </w:r>
          </w:p>
        </w:tc>
      </w:tr>
    </w:tbl>
    <w:p>
      <w:pPr>
        <w:pStyle w:val="BodyText"/>
      </w:pPr>
      <w:r>
        <w:rPr>
          <w:b/>
          <w:bCs/>
        </w:rPr>
        <w:t xml:space="preserve">Positioning for RBC:</w:t>
      </w:r>
      <w:r>
        <w:t xml:space="preserve"> </w:t>
      </w:r>
      <w:r>
        <w:t xml:space="preserve">Apple Intelligence improves the native iOS user experience. Liquid provides the trained, governed, cross-platform Decision Layer that RBC can benchmark, adapt, and operate as part of its own banking AI roadmap. The two are complementary — use Apple where the platform provides strong native primitives, use Liquid where the bank needs domain-specific, auditable, cross-platform intelligence.</w:t>
      </w:r>
    </w:p>
    <w:p>
      <w:r>
        <w:pict>
          <v:rect style="width:0;height:1.5pt" o:hralign="center" o:hrstd="t" o:hr="t"/>
        </w:pict>
      </w:r>
    </w:p>
    <w:bookmarkEnd w:id="36"/>
    <w:bookmarkEnd w:id="37"/>
    <w:bookmarkStart w:id="39" w:name="X3ffe9b021f8d00f286fea9e592ba891668415fe"/>
    <w:p>
      <w:pPr>
        <w:pStyle w:val="Heading2"/>
      </w:pPr>
      <w:r>
        <w:t xml:space="preserve">On-Device RAG (Retrieval-Augmented Generation)</w:t>
      </w:r>
    </w:p>
    <w:bookmarkStart w:id="38" w:name="X5377b9b10cab70ced0e48b88d79002b9b01531b"/>
    <w:p>
      <w:pPr>
        <w:pStyle w:val="Heading3"/>
      </w:pPr>
      <w:r>
        <w:t xml:space="preserve">Has on-device RAG been proven? How does retrieval work without a vector database or cloud search backend?</w:t>
      </w:r>
    </w:p>
    <w:p>
      <w:pPr>
        <w:pStyle w:val="FirstParagraph"/>
      </w:pPr>
      <w:r>
        <w:rPr>
          <w:b/>
          <w:bCs/>
        </w:rPr>
        <w:t xml:space="preserve">Yes — on-device RAG has been proven in a separate enterprise support POC</w:t>
      </w:r>
      <w:r>
        <w:t xml:space="preserve"> </w:t>
      </w:r>
      <w:r>
        <w:t xml:space="preserve">using LFM2.5-350M on iPhone. The architecture retrieves from a curated knowledge base entirely on-device, then generates a grounded answer using the retrieved article as context. No cloud search, no vector database, no network dependency.</w:t>
      </w:r>
    </w:p>
    <w:p>
      <w:pPr>
        <w:pStyle w:val="BodyText"/>
      </w:pPr>
      <w:r>
        <w:rPr>
          <w:b/>
          <w:bCs/>
        </w:rPr>
        <w:t xml:space="preserve">Three retrieval strategies were implemented and evaluated:</w:t>
      </w:r>
    </w:p>
    <w:tbl>
      <w:tblPr>
        <w:tblStyle w:val="Table"/>
        <w:tblW w:type="pct" w:w="5000"/>
        <w:tblLayout w:type="fixed"/>
        <w:tblLook w:firstRow="1" w:lastRow="0" w:firstColumn="0" w:lastColumn="0" w:noHBand="0" w:noVBand="0" w:val="0020"/>
      </w:tblPr>
      <w:tblGrid>
        <w:gridCol w:w="992"/>
        <w:gridCol w:w="3097"/>
        <w:gridCol w:w="1040"/>
        <w:gridCol w:w="1229"/>
        <w:gridCol w:w="1560"/>
      </w:tblGrid>
      <w:tr>
        <w:trPr>
          <w:tblHeader w:val="on"/>
        </w:trPr>
        <w:tc>
          <w:tcPr/>
          <w:p>
            <w:pPr>
              <w:pStyle w:val="Compact"/>
            </w:pPr>
            <w:r>
              <w:t xml:space="preserve">Strategy</w:t>
            </w:r>
          </w:p>
        </w:tc>
        <w:tc>
          <w:tcPr/>
          <w:p>
            <w:pPr>
              <w:pStyle w:val="Compact"/>
            </w:pPr>
            <w:r>
              <w:t xml:space="preserve">How It Works</w:t>
            </w:r>
          </w:p>
        </w:tc>
        <w:tc>
          <w:tcPr/>
          <w:p>
            <w:pPr>
              <w:pStyle w:val="Compact"/>
            </w:pPr>
            <w:r>
              <w:t xml:space="preserve">Latency</w:t>
            </w:r>
          </w:p>
        </w:tc>
        <w:tc>
          <w:tcPr/>
          <w:p>
            <w:pPr>
              <w:pStyle w:val="Compact"/>
            </w:pPr>
            <w:r>
              <w:t xml:space="preserve">Accuracy</w:t>
            </w:r>
          </w:p>
        </w:tc>
        <w:tc>
          <w:tcPr/>
          <w:p>
            <w:pPr>
              <w:pStyle w:val="Compact"/>
            </w:pPr>
            <w:r>
              <w:t xml:space="preserve">Best For</w:t>
            </w:r>
          </w:p>
        </w:tc>
      </w:tr>
      <w:tr>
        <w:tc>
          <w:tcPr/>
          <w:p>
            <w:pPr>
              <w:pStyle w:val="Compact"/>
            </w:pPr>
            <w:r>
              <w:rPr>
                <w:b/>
                <w:bCs/>
              </w:rPr>
              <w:t xml:space="preserve">Keyword matching</w:t>
            </w:r>
            <w:r>
              <w:t xml:space="preserve"> </w:t>
            </w:r>
            <w:r>
              <w:t xml:space="preserve">(production)</w:t>
            </w:r>
          </w:p>
        </w:tc>
        <w:tc>
          <w:tcPr/>
          <w:p>
            <w:pPr>
              <w:pStyle w:val="Compact"/>
            </w:pPr>
            <w:r>
              <w:t xml:space="preserve">Token-overlap scoring against curated KB entry aliases. Deterministic, sub-millisecond.</w:t>
            </w:r>
          </w:p>
        </w:tc>
        <w:tc>
          <w:tcPr/>
          <w:p>
            <w:pPr>
              <w:pStyle w:val="Compact"/>
            </w:pPr>
            <w:r>
              <w:t xml:space="preserve">&lt;1ms</w:t>
            </w:r>
          </w:p>
        </w:tc>
        <w:tc>
          <w:tcPr/>
          <w:p>
            <w:pPr>
              <w:pStyle w:val="Compact"/>
            </w:pPr>
            <w:r>
              <w:t xml:space="preserve">100% on alias-matched queries</w:t>
            </w:r>
          </w:p>
        </w:tc>
        <w:tc>
          <w:tcPr/>
          <w:p>
            <w:pPr>
              <w:pStyle w:val="Compact"/>
            </w:pPr>
            <w:r>
              <w:t xml:space="preserve">Small-to-medium KBs (≤150 entries) with well-curated topic aliases</w:t>
            </w:r>
          </w:p>
        </w:tc>
      </w:tr>
      <w:tr>
        <w:tc>
          <w:tcPr/>
          <w:p>
            <w:pPr>
              <w:pStyle w:val="Compact"/>
            </w:pPr>
            <w:r>
              <w:rPr>
                <w:b/>
                <w:bCs/>
              </w:rPr>
              <w:t xml:space="preserve">LoRA memorization</w:t>
            </w:r>
            <w:r>
              <w:t xml:space="preserve"> </w:t>
            </w:r>
            <w:r>
              <w:t xml:space="preserve">(validated)</w:t>
            </w:r>
          </w:p>
        </w:tc>
        <w:tc>
          <w:tcPr/>
          <w:p>
            <w:pPr>
              <w:pStyle w:val="Compact"/>
            </w:pPr>
            <w:r>
              <w:t xml:space="preserve">Fine-tuned LoRA adapter that encodes the entire KB into weights. Query-only prompt (~40 tokens) → model outputs entry_id + passage.</w:t>
            </w:r>
          </w:p>
        </w:tc>
        <w:tc>
          <w:tcPr/>
          <w:p>
            <w:pPr>
              <w:pStyle w:val="Compact"/>
            </w:pPr>
            <w:r>
              <w:t xml:space="preserve">~35ms</w:t>
            </w:r>
          </w:p>
        </w:tc>
        <w:tc>
          <w:tcPr/>
          <w:p>
            <w:pPr>
              <w:pStyle w:val="Compact"/>
            </w:pPr>
            <w:r>
              <w:t xml:space="preserve">83.8% on canonical fixture, 100% off-topic precision</w:t>
            </w:r>
          </w:p>
        </w:tc>
        <w:tc>
          <w:tcPr/>
          <w:p>
            <w:pPr>
              <w:pStyle w:val="Compact"/>
            </w:pPr>
            <w:r>
              <w:t xml:space="preserve">Static KBs where update cadence is low (retrain = minutes)</w:t>
            </w:r>
          </w:p>
        </w:tc>
      </w:tr>
      <w:tr>
        <w:tc>
          <w:tcPr/>
          <w:p>
            <w:pPr>
              <w:pStyle w:val="Compact"/>
            </w:pPr>
            <w:r>
              <w:rPr>
                <w:b/>
                <w:bCs/>
              </w:rPr>
              <w:t xml:space="preserve">Embedding cosine retrieval</w:t>
            </w:r>
            <w:r>
              <w:t xml:space="preserve"> </w:t>
            </w:r>
            <w:r>
              <w:t xml:space="preserve">(validated)</w:t>
            </w:r>
          </w:p>
        </w:tc>
        <w:tc>
          <w:tcPr/>
          <w:p>
            <w:pPr>
              <w:pStyle w:val="Compact"/>
            </w:pPr>
            <w:r>
              <w:t xml:space="preserve">LFM2.5 backbone extracts 1024-dim embeddings via last-token pooling. Cosine similarity search over pre-computed KB vectors.</w:t>
            </w:r>
          </w:p>
        </w:tc>
        <w:tc>
          <w:tcPr/>
          <w:p>
            <w:pPr>
              <w:pStyle w:val="Compact"/>
            </w:pPr>
            <w:r>
              <w:t xml:space="preserve">~30µs per entry + ~35ms embedding extraction</w:t>
            </w:r>
          </w:p>
        </w:tc>
        <w:tc>
          <w:tcPr/>
          <w:p>
            <w:pPr>
              <w:pStyle w:val="Compact"/>
            </w:pPr>
            <w:r>
              <w:t xml:space="preserve">Threshold-tunable</w:t>
            </w:r>
          </w:p>
        </w:tc>
        <w:tc>
          <w:tcPr/>
          <w:p>
            <w:pPr>
              <w:pStyle w:val="Compact"/>
            </w:pPr>
            <w:r>
              <w:t xml:space="preserve">Larger KBs (100+ entries), dynamic content, multi-tenant</w:t>
            </w:r>
          </w:p>
        </w:tc>
      </w:tr>
    </w:tbl>
    <w:p>
      <w:pPr>
        <w:pStyle w:val="BodyText"/>
      </w:pPr>
      <w:r>
        <w:rPr>
          <w:b/>
          <w:bCs/>
        </w:rPr>
        <w:t xml:space="preserve">Grounded QA generation (retrieve → augment → generate):</w:t>
      </w:r>
    </w:p>
    <w:p>
      <w:pPr>
        <w:pStyle w:val="BodyText"/>
      </w:pPr>
      <w:r>
        <w:t xml:space="preserve">Once retrieval selects a KB entry, the generative path produces a natural-language answer grounded in the retrieved reference:</w:t>
      </w:r>
    </w:p>
    <w:p>
      <w:pPr>
        <w:pStyle w:val="Compact"/>
        <w:numPr>
          <w:ilvl w:val="0"/>
          <w:numId w:val="1012"/>
        </w:numPr>
      </w:pPr>
      <w:r>
        <w:rPr>
          <w:b/>
          <w:bCs/>
        </w:rPr>
        <w:t xml:space="preserve">Retrieve:</w:t>
      </w:r>
      <w:r>
        <w:t xml:space="preserve"> </w:t>
      </w:r>
      <w:r>
        <w:t xml:space="preserve">KB extractor returns a</w:t>
      </w:r>
      <w:r>
        <w:t xml:space="preserve"> </w:t>
      </w:r>
      <w:r>
        <w:rPr>
          <w:rStyle w:val="VerbatimChar"/>
        </w:rPr>
        <w:t xml:space="preserve">KBCitation</w:t>
      </w:r>
      <w:r>
        <w:t xml:space="preserve"> </w:t>
      </w:r>
      <w:r>
        <w:t xml:space="preserve">with entry ID, passage, confidence score, and retrieval latency</w:t>
      </w:r>
    </w:p>
    <w:p>
      <w:pPr>
        <w:pStyle w:val="Compact"/>
        <w:numPr>
          <w:ilvl w:val="0"/>
          <w:numId w:val="1012"/>
        </w:numPr>
      </w:pPr>
      <w:r>
        <w:rPr>
          <w:b/>
          <w:bCs/>
        </w:rPr>
        <w:t xml:space="preserve">Augment:</w:t>
      </w:r>
      <w:r>
        <w:t xml:space="preserve"> </w:t>
      </w:r>
      <w:r>
        <w:t xml:space="preserve">Retrieved KB article injected as reference context in the generation prompt — the model is instructed to answer only from the reference, preventing hallucination</w:t>
      </w:r>
    </w:p>
    <w:p>
      <w:pPr>
        <w:pStyle w:val="Compact"/>
        <w:numPr>
          <w:ilvl w:val="0"/>
          <w:numId w:val="1012"/>
        </w:numPr>
      </w:pPr>
      <w:r>
        <w:rPr>
          <w:b/>
          <w:bCs/>
        </w:rPr>
        <w:t xml:space="preserve">Generate:</w:t>
      </w:r>
      <w:r>
        <w:t xml:space="preserve"> </w:t>
      </w:r>
      <w:r>
        <w:t xml:space="preserve">LFM2.5-350M produces a 2–3 sentence answer (~700ms for 64 tokens) that synthesizes the retrieved content into a natural response</w:t>
      </w:r>
    </w:p>
    <w:p>
      <w:pPr>
        <w:pStyle w:val="FirstParagraph"/>
      </w:pPr>
      <w:r>
        <w:rPr>
          <w:b/>
          <w:bCs/>
        </w:rPr>
        <w:t xml:space="preserve">End-to-end RAG latency:</w:t>
      </w:r>
      <w:r>
        <w:t xml:space="preserve"> </w:t>
      </w:r>
      <w:r>
        <w:t xml:space="preserve">&lt;750ms (retrieval &lt;1ms + generation ~700ms). Fully on-device, fully offline.</w:t>
      </w:r>
    </w:p>
    <w:p>
      <w:pPr>
        <w:pStyle w:val="BodyText"/>
      </w:pPr>
      <w:r>
        <w:rPr>
          <w:b/>
          <w:bCs/>
        </w:rPr>
        <w:t xml:space="preserve">Architecture decisions and scaling:</w:t>
      </w:r>
    </w:p>
    <w:tbl>
      <w:tblPr>
        <w:tblStyle w:val="Table"/>
        <w:tblW w:type="pct" w:w="5000"/>
        <w:tblLayout w:type="fixed"/>
        <w:tblLook w:firstRow="1" w:lastRow="0" w:firstColumn="0" w:lastColumn="0" w:noHBand="0" w:noVBand="0" w:val="0020"/>
      </w:tblPr>
      <w:tblGrid>
        <w:gridCol w:w="809"/>
        <w:gridCol w:w="2312"/>
        <w:gridCol w:w="4798"/>
      </w:tblGrid>
      <w:tr>
        <w:trPr>
          <w:tblHeader w:val="on"/>
        </w:trPr>
        <w:tc>
          <w:tcPr/>
          <w:p>
            <w:pPr>
              <w:pStyle w:val="Compact"/>
            </w:pPr>
            <w:r>
              <w:t xml:space="preserve">KB Size</w:t>
            </w:r>
          </w:p>
        </w:tc>
        <w:tc>
          <w:tcPr/>
          <w:p>
            <w:pPr>
              <w:pStyle w:val="Compact"/>
            </w:pPr>
            <w:r>
              <w:t xml:space="preserve">Recommended Strategy</w:t>
            </w:r>
          </w:p>
        </w:tc>
        <w:tc>
          <w:tcPr/>
          <w:p>
            <w:pPr>
              <w:pStyle w:val="Compact"/>
            </w:pPr>
            <w:r>
              <w:t xml:space="preserve">Why</w:t>
            </w:r>
          </w:p>
        </w:tc>
      </w:tr>
      <w:tr>
        <w:tc>
          <w:tcPr/>
          <w:p>
            <w:pPr>
              <w:pStyle w:val="Compact"/>
            </w:pPr>
            <w:r>
              <w:t xml:space="preserve">≤50 entries</w:t>
            </w:r>
          </w:p>
        </w:tc>
        <w:tc>
          <w:tcPr/>
          <w:p>
            <w:pPr>
              <w:pStyle w:val="Compact"/>
            </w:pPr>
            <w:r>
              <w:t xml:space="preserve">Keyword matching</w:t>
            </w:r>
          </w:p>
        </w:tc>
        <w:tc>
          <w:tcPr/>
          <w:p>
            <w:pPr>
              <w:pStyle w:val="Compact"/>
            </w:pPr>
            <w:r>
              <w:t xml:space="preserve">Perfect accuracy on curated aliases, zero model inference, trivially debuggable</w:t>
            </w:r>
          </w:p>
        </w:tc>
      </w:tr>
      <w:tr>
        <w:tc>
          <w:tcPr/>
          <w:p>
            <w:pPr>
              <w:pStyle w:val="Compact"/>
            </w:pPr>
            <w:r>
              <w:t xml:space="preserve">50–150 entries</w:t>
            </w:r>
          </w:p>
        </w:tc>
        <w:tc>
          <w:tcPr/>
          <w:p>
            <w:pPr>
              <w:pStyle w:val="Compact"/>
            </w:pPr>
            <w:r>
              <w:t xml:space="preserve">LoRA memorization or embedding retrieval</w:t>
            </w:r>
          </w:p>
        </w:tc>
        <w:tc>
          <w:tcPr/>
          <w:p>
            <w:pPr>
              <w:pStyle w:val="Compact"/>
            </w:pPr>
            <w:r>
              <w:t xml:space="preserve">LoRA if update cadence is low; embeddings if KB changes frequently</w:t>
            </w:r>
          </w:p>
        </w:tc>
      </w:tr>
      <w:tr>
        <w:tc>
          <w:tcPr/>
          <w:p>
            <w:pPr>
              <w:pStyle w:val="Compact"/>
            </w:pPr>
            <w:r>
              <w:t xml:space="preserve">150+ entries</w:t>
            </w:r>
          </w:p>
        </w:tc>
        <w:tc>
          <w:tcPr/>
          <w:p>
            <w:pPr>
              <w:pStyle w:val="Compact"/>
            </w:pPr>
            <w:r>
              <w:t xml:space="preserve">Embedding retrieval</w:t>
            </w:r>
          </w:p>
        </w:tc>
        <w:tc>
          <w:tcPr/>
          <w:p>
            <w:pPr>
              <w:pStyle w:val="Compact"/>
            </w:pPr>
            <w:r>
              <w:t xml:space="preserve">LoRA memorization hits a ceiling; cosine retrieval scales linearly with entry count</w:t>
            </w:r>
          </w:p>
        </w:tc>
      </w:tr>
      <w:tr>
        <w:tc>
          <w:tcPr/>
          <w:p>
            <w:pPr>
              <w:pStyle w:val="Compact"/>
            </w:pPr>
            <w:r>
              <w:t xml:space="preserve">1,000+ entries</w:t>
            </w:r>
          </w:p>
        </w:tc>
        <w:tc>
          <w:tcPr/>
          <w:p>
            <w:pPr>
              <w:pStyle w:val="Compact"/>
            </w:pPr>
            <w:r>
              <w:t xml:space="preserve">Embedding retrieval + re-ranking</w:t>
            </w:r>
          </w:p>
        </w:tc>
        <w:tc>
          <w:tcPr/>
          <w:p>
            <w:pPr>
              <w:pStyle w:val="Compact"/>
            </w:pPr>
            <w:r>
              <w:t xml:space="preserve">Add a lightweight re-ranking head on retrieved candidates</w:t>
            </w:r>
          </w:p>
        </w:tc>
      </w:tr>
    </w:tbl>
    <w:p>
      <w:pPr>
        <w:pStyle w:val="BodyText"/>
      </w:pPr>
      <w:r>
        <w:rPr>
          <w:b/>
          <w:bCs/>
        </w:rPr>
        <w:t xml:space="preserve">Embedding index infrastructure (built and validated):</w:t>
      </w:r>
    </w:p>
    <w:p>
      <w:pPr>
        <w:pStyle w:val="BodyText"/>
      </w:pPr>
      <w:r>
        <w:t xml:space="preserve">The on-device embedding index uses a three-tier load strategy for instant availability:</w:t>
      </w:r>
    </w:p>
    <w:p>
      <w:pPr>
        <w:pStyle w:val="Compact"/>
        <w:numPr>
          <w:ilvl w:val="0"/>
          <w:numId w:val="1013"/>
        </w:numPr>
      </w:pPr>
      <w:r>
        <w:rPr>
          <w:b/>
          <w:bCs/>
        </w:rPr>
        <w:t xml:space="preserve">Bundled binary</w:t>
      </w:r>
      <w:r>
        <w:t xml:space="preserve"> </w:t>
      </w:r>
      <w:r>
        <w:t xml:space="preserve">(0ms warmup) — pre-computed embeddings shipped in app bundle</w:t>
      </w:r>
    </w:p>
    <w:p>
      <w:pPr>
        <w:pStyle w:val="Compact"/>
        <w:numPr>
          <w:ilvl w:val="0"/>
          <w:numId w:val="1013"/>
        </w:numPr>
      </w:pPr>
      <w:r>
        <w:rPr>
          <w:b/>
          <w:bCs/>
        </w:rPr>
        <w:t xml:space="preserve">On-device cache</w:t>
      </w:r>
      <w:r>
        <w:t xml:space="preserve"> </w:t>
      </w:r>
      <w:r>
        <w:t xml:space="preserve">(~50ms) — cached after first computation, invalidated on KB or model version change</w:t>
      </w:r>
    </w:p>
    <w:p>
      <w:pPr>
        <w:pStyle w:val="Compact"/>
        <w:numPr>
          <w:ilvl w:val="0"/>
          <w:numId w:val="1013"/>
        </w:numPr>
      </w:pPr>
      <w:r>
        <w:rPr>
          <w:b/>
          <w:bCs/>
        </w:rPr>
        <w:t xml:space="preserve">On-device compute</w:t>
      </w:r>
      <w:r>
        <w:t xml:space="preserve"> </w:t>
      </w:r>
      <w:r>
        <w:t xml:space="preserve">(~5s for 34 entries) — LFM2.5 forward pass per entry, cached for subsequent launches</w:t>
      </w:r>
    </w:p>
    <w:p>
      <w:pPr>
        <w:pStyle w:val="FirstParagraph"/>
      </w:pPr>
      <w:r>
        <w:t xml:space="preserve">Vectors are L2-normalized (cosine similarity = dot product), stored as float32, keyed by SHA256 of model version + KB content hash for cache invalidation.</w:t>
      </w:r>
    </w:p>
    <w:p>
      <w:pPr>
        <w:pStyle w:val="BodyText"/>
      </w:pPr>
      <w:r>
        <w:rPr>
          <w:b/>
          <w:bCs/>
        </w:rPr>
        <w:t xml:space="preserve">Relevance to RBC banking:</w:t>
      </w:r>
    </w:p>
    <w:p>
      <w:pPr>
        <w:pStyle w:val="BodyText"/>
      </w:pPr>
      <w:r>
        <w:t xml:space="preserve">On-device RAG is directly applicable to banking use cases such as:</w:t>
      </w:r>
    </w:p>
    <w:p>
      <w:pPr>
        <w:pStyle w:val="Compact"/>
        <w:numPr>
          <w:ilvl w:val="0"/>
          <w:numId w:val="1014"/>
        </w:numPr>
      </w:pPr>
      <w:r>
        <w:rPr>
          <w:b/>
          <w:bCs/>
        </w:rPr>
        <w:t xml:space="preserve">Product FAQ:</w:t>
      </w:r>
      <w:r>
        <w:t xml:space="preserve"> </w:t>
      </w:r>
      <w:r>
        <w:t xml:space="preserve">“How do I set up e-Transfer?”</w:t>
      </w:r>
      <w:r>
        <w:t xml:space="preserve"> </w:t>
      </w:r>
      <w:r>
        <w:t xml:space="preserve">→ retrieve from product knowledge base → generate natural answer</w:t>
      </w:r>
    </w:p>
    <w:p>
      <w:pPr>
        <w:pStyle w:val="Compact"/>
        <w:numPr>
          <w:ilvl w:val="0"/>
          <w:numId w:val="1014"/>
        </w:numPr>
      </w:pPr>
      <w:r>
        <w:rPr>
          <w:b/>
          <w:bCs/>
        </w:rPr>
        <w:t xml:space="preserve">Policy lookup:</w:t>
      </w:r>
      <w:r>
        <w:t xml:space="preserve"> </w:t>
      </w:r>
      <w:r>
        <w:t xml:space="preserve">“What’s the daily transfer limit?”</w:t>
      </w:r>
      <w:r>
        <w:t xml:space="preserve"> </w:t>
      </w:r>
      <w:r>
        <w:t xml:space="preserve">→ retrieve policy entry → grounded response</w:t>
      </w:r>
    </w:p>
    <w:p>
      <w:pPr>
        <w:pStyle w:val="Compact"/>
        <w:numPr>
          <w:ilvl w:val="0"/>
          <w:numId w:val="1014"/>
        </w:numPr>
      </w:pPr>
      <w:r>
        <w:rPr>
          <w:b/>
          <w:bCs/>
        </w:rPr>
        <w:t xml:space="preserve">Troubleshooting:</w:t>
      </w:r>
      <w:r>
        <w:t xml:space="preserve"> </w:t>
      </w:r>
      <w:r>
        <w:t xml:space="preserve">“My card was declined”</w:t>
      </w:r>
      <w:r>
        <w:t xml:space="preserve"> </w:t>
      </w:r>
      <w:r>
        <w:t xml:space="preserve">→ retrieve troubleshooting guide → step-by-step answer</w:t>
      </w:r>
    </w:p>
    <w:p>
      <w:pPr>
        <w:pStyle w:val="Compact"/>
        <w:numPr>
          <w:ilvl w:val="0"/>
          <w:numId w:val="1014"/>
        </w:numPr>
      </w:pPr>
      <w:r>
        <w:rPr>
          <w:b/>
          <w:bCs/>
        </w:rPr>
        <w:t xml:space="preserve">Compliance guidance:</w:t>
      </w:r>
      <w:r>
        <w:t xml:space="preserve"> </w:t>
      </w:r>
      <w:r>
        <w:t xml:space="preserve">“Can I send money internationally?”</w:t>
      </w:r>
      <w:r>
        <w:t xml:space="preserve"> </w:t>
      </w:r>
      <w:r>
        <w:t xml:space="preserve">→ retrieve regulatory entry → policy-aware response</w:t>
      </w:r>
    </w:p>
    <w:p>
      <w:pPr>
        <w:pStyle w:val="FirstParagraph"/>
      </w:pPr>
      <w:r>
        <w:t xml:space="preserve">The KB content stays on-device, the retrieval runs locally, and the generated answer is grounded in the reference — no data leaves the device, and the model cannot hallucinate beyond the retrieved article.</w:t>
      </w:r>
    </w:p>
    <w:p>
      <w:r>
        <w:pict>
          <v:rect style="width:0;height:1.5pt" o:hralign="center" o:hrstd="t" o:hr="t"/>
        </w:pict>
      </w:r>
    </w:p>
    <w:bookmarkEnd w:id="38"/>
    <w:bookmarkEnd w:id="39"/>
    <w:bookmarkStart w:id="41" w:name="scope-and-limitations"/>
    <w:p>
      <w:pPr>
        <w:pStyle w:val="Heading2"/>
      </w:pPr>
      <w:r>
        <w:t xml:space="preserve">Scope and Limitations</w:t>
      </w:r>
    </w:p>
    <w:bookmarkStart w:id="40" w:name="X86361311528da6857eed875569978f817fc25ce"/>
    <w:p>
      <w:pPr>
        <w:pStyle w:val="Heading3"/>
      </w:pPr>
      <w:r>
        <w:t xml:space="preserve">What capabilities are out of scope or require further exploration?</w:t>
      </w:r>
    </w:p>
    <w:p>
      <w:pPr>
        <w:pStyle w:val="FirstParagraph"/>
      </w:pPr>
      <w:r>
        <w:rPr>
          <w:b/>
          <w:bCs/>
        </w:rPr>
        <w:t xml:space="preserve">Multi-turn conversational state management</w:t>
      </w:r>
      <w:r>
        <w:t xml:space="preserve"> </w:t>
      </w:r>
      <w:r>
        <w:t xml:space="preserve">is the primary capability that has not yet been explored in the banking POC. The current architecture is optimized for single-turn classification and retrieval — each query is processed independently.</w:t>
      </w:r>
    </w:p>
    <w:tbl>
      <w:tblPr>
        <w:tblStyle w:val="Table"/>
        <w:tblW w:type="pct" w:w="5000"/>
        <w:tblLayout w:type="fixed"/>
        <w:tblLook w:firstRow="1" w:lastRow="0" w:firstColumn="0" w:lastColumn="0" w:noHBand="0" w:noVBand="0" w:val="0020"/>
      </w:tblPr>
      <w:tblGrid>
        <w:gridCol w:w="500"/>
        <w:gridCol w:w="347"/>
        <w:gridCol w:w="7072"/>
      </w:tblGrid>
      <w:tr>
        <w:trPr>
          <w:tblHeader w:val="on"/>
        </w:trPr>
        <w:tc>
          <w:tcPr/>
          <w:p>
            <w:pPr>
              <w:pStyle w:val="Compact"/>
            </w:pPr>
            <w:r>
              <w:t xml:space="preserve">Capability</w:t>
            </w:r>
          </w:p>
        </w:tc>
        <w:tc>
          <w:tcPr/>
          <w:p>
            <w:pPr>
              <w:pStyle w:val="Compact"/>
            </w:pPr>
            <w:r>
              <w:t xml:space="preserve">Current State</w:t>
            </w:r>
          </w:p>
        </w:tc>
        <w:tc>
          <w:tcPr/>
          <w:p>
            <w:pPr>
              <w:pStyle w:val="Compact"/>
            </w:pPr>
            <w:r>
              <w:t xml:space="preserve">What’s Needed</w:t>
            </w:r>
          </w:p>
        </w:tc>
      </w:tr>
      <w:tr>
        <w:tc>
          <w:tcPr/>
          <w:p>
            <w:pPr>
              <w:pStyle w:val="Compact"/>
            </w:pPr>
            <w:r>
              <w:rPr>
                <w:b/>
                <w:bCs/>
              </w:rPr>
              <w:t xml:space="preserve">Multi-turn conversation</w:t>
            </w:r>
          </w:p>
        </w:tc>
        <w:tc>
          <w:tcPr/>
          <w:p>
            <w:pPr>
              <w:pStyle w:val="Compact"/>
            </w:pPr>
            <w:r>
              <w:t xml:space="preserve">Out of scope</w:t>
            </w:r>
          </w:p>
        </w:tc>
        <w:tc>
          <w:tcPr/>
          <w:p>
            <w:pPr>
              <w:pStyle w:val="Compact"/>
            </w:pPr>
            <w:r>
              <w:t xml:space="preserve">KV cache persistence across turns, conversation history management, context window budgeting for banking sessions (5–8 turns × ~100 tokens = well within 4K window). The model architecture supports stateful inference (KV cache preserved across turns), but the banking decision pipeline has not been validated for multi-turn coherence — e.g., resolving anaphora (</w:t>
            </w:r>
            <w:r>
              <w:t xml:space="preserve">“that charge”</w:t>
            </w:r>
            <w:r>
              <w:t xml:space="preserve"> </w:t>
            </w:r>
            <w:r>
              <w:t xml:space="preserve">referring to a previous turn’s transaction), maintaining slot state across a dispute flow, or handling mid-conversation intent shifts.</w:t>
            </w:r>
          </w:p>
        </w:tc>
      </w:tr>
      <w:tr>
        <w:tc>
          <w:tcPr/>
          <w:p>
            <w:pPr>
              <w:pStyle w:val="Compact"/>
            </w:pPr>
            <w:r>
              <w:rPr>
                <w:b/>
                <w:bCs/>
              </w:rPr>
              <w:t xml:space="preserve">Conversation memory</w:t>
            </w:r>
          </w:p>
        </w:tc>
        <w:tc>
          <w:tcPr/>
          <w:p>
            <w:pPr>
              <w:pStyle w:val="Compact"/>
            </w:pPr>
            <w:r>
              <w:t xml:space="preserve">Not implemented</w:t>
            </w:r>
          </w:p>
        </w:tc>
        <w:tc>
          <w:tcPr/>
          <w:p>
            <w:pPr>
              <w:pStyle w:val="Compact"/>
            </w:pPr>
            <w:r>
              <w:t xml:space="preserve">Persisting conversation context across app sessions (backgrounding, app restart). Current design clears all state on app restart. Banking use case may require resumable conversations for complex flows (dispute filing, account setup).</w:t>
            </w:r>
          </w:p>
        </w:tc>
      </w:tr>
      <w:tr>
        <w:tc>
          <w:tcPr/>
          <w:p>
            <w:pPr>
              <w:pStyle w:val="Compact"/>
            </w:pPr>
            <w:r>
              <w:rPr>
                <w:b/>
                <w:bCs/>
              </w:rPr>
              <w:t xml:space="preserve">Context-dependent classification</w:t>
            </w:r>
          </w:p>
        </w:tc>
        <w:tc>
          <w:tcPr/>
          <w:p>
            <w:pPr>
              <w:pStyle w:val="Compact"/>
            </w:pPr>
            <w:r>
              <w:t xml:space="preserve">Not validated</w:t>
            </w:r>
          </w:p>
        </w:tc>
        <w:tc>
          <w:tcPr/>
          <w:p>
            <w:pPr>
              <w:pStyle w:val="Compact"/>
            </w:pPr>
            <w:r>
              <w:t xml:space="preserve">Classifier heads operate on single-turn input. Multi-turn scenarios where the correct classification depends on prior turns (e.g.,</w:t>
            </w:r>
            <w:r>
              <w:t xml:space="preserve"> </w:t>
            </w:r>
            <w:r>
              <w:t xml:space="preserve">“Yes, go ahead”</w:t>
            </w:r>
            <w:r>
              <w:t xml:space="preserve"> </w:t>
            </w:r>
            <w:r>
              <w:t xml:space="preserve">after a dispute confirmation) have not been tested. The heads may need conversation-history-aware prompting or a turn-aggregation layer.</w:t>
            </w:r>
          </w:p>
        </w:tc>
      </w:tr>
      <w:tr>
        <w:tc>
          <w:tcPr/>
          <w:p>
            <w:pPr>
              <w:pStyle w:val="Compact"/>
            </w:pPr>
            <w:r>
              <w:rPr>
                <w:b/>
                <w:bCs/>
              </w:rPr>
              <w:t xml:space="preserve">Streaming generation UX</w:t>
            </w:r>
          </w:p>
        </w:tc>
        <w:tc>
          <w:tcPr/>
          <w:p>
            <w:pPr>
              <w:pStyle w:val="Compact"/>
            </w:pPr>
            <w:r>
              <w:t xml:space="preserve">Partially implemented</w:t>
            </w:r>
          </w:p>
        </w:tc>
        <w:tc>
          <w:tcPr/>
          <w:p>
            <w:pPr>
              <w:pStyle w:val="Compact"/>
            </w:pPr>
            <w:r>
              <w:t xml:space="preserve">Word-level chunking from full generation is implemented. True token-by-token streaming (callback per decoded token) is architecturally supported by llama.cpp but not yet wired through the banking pipeline.</w:t>
            </w:r>
          </w:p>
        </w:tc>
      </w:tr>
      <w:tr>
        <w:tc>
          <w:tcPr/>
          <w:p>
            <w:pPr>
              <w:pStyle w:val="Compact"/>
            </w:pPr>
            <w:r>
              <w:rPr>
                <w:b/>
                <w:bCs/>
              </w:rPr>
              <w:t xml:space="preserve">Long-form generation</w:t>
            </w:r>
          </w:p>
        </w:tc>
        <w:tc>
          <w:tcPr/>
          <w:p>
            <w:pPr>
              <w:pStyle w:val="Compact"/>
            </w:pPr>
            <w:r>
              <w:t xml:space="preserve">Supported but not primary</w:t>
            </w:r>
          </w:p>
        </w:tc>
        <w:tc>
          <w:tcPr/>
          <w:p>
            <w:pPr>
              <w:pStyle w:val="Compact"/>
            </w:pPr>
            <w:r>
              <w:t xml:space="preserve">The 350M model can generate 200+ tokens but quality degrades for open-ended content. Banking use case is better served by classification + template responses for most queries, with generative fallback for RAG and edge cases.</w:t>
            </w:r>
          </w:p>
        </w:tc>
      </w:tr>
    </w:tbl>
    <w:p>
      <w:pPr>
        <w:pStyle w:val="BodyText"/>
      </w:pPr>
      <w:r>
        <w:rPr>
          <w:b/>
          <w:bCs/>
        </w:rPr>
        <w:t xml:space="preserve">Assessment:</w:t>
      </w:r>
      <w:r>
        <w:t xml:space="preserve"> </w:t>
      </w:r>
      <w:r>
        <w:t xml:space="preserve">Multi-turn conversation is the highest-priority capability gap for a production banking assistant. The architectural foundations are in place — LFM2.5 supports KV cache persistence, the 4K context window is sufficient for typical banking sessions, and the DecisionRouter already handles intent transitions. The work is in validating multi-turn coherence for banking-specific flows and adding conversation state management to the pipeline. This is an engineering integration task, not a model capability limitation.</w:t>
      </w:r>
    </w:p>
    <w:p>
      <w:r>
        <w:pict>
          <v:rect style="width:0;height:1.5pt" o:hralign="center" o:hrstd="t" o:hr="t"/>
        </w:pict>
      </w:r>
    </w:p>
    <w:p>
      <w:pPr>
        <w:pStyle w:val="FirstParagraph"/>
      </w:pPr>
      <w:r>
        <w:rPr>
          <w:i/>
          <w:iCs/>
        </w:rPr>
        <w:t xml:space="preserve">Document prepared May 2026. All benchmarks measured on physical hardware (iPhone 14 Pro, A16 Bionic, iOS 26.4) unless otherwise noted. Accuracy figures from held-out test set evaluation via</w:t>
      </w:r>
      <w:r>
        <w:rPr>
          <w:i/>
          <w:iCs/>
        </w:rPr>
        <w:t xml:space="preserve"> </w:t>
      </w:r>
      <w:r>
        <w:rPr>
          <w:rStyle w:val="VerbatimChar"/>
          <w:i/>
          <w:iCs/>
        </w:rPr>
        <w:t xml:space="preserve">eval_sidecar.py</w:t>
      </w:r>
      <w:r>
        <w:rPr>
          <w:i/>
          <w:iCs/>
        </w:rPr>
        <w:t xml:space="preserve"> </w:t>
      </w:r>
      <w:r>
        <w:rPr>
          <w:i/>
          <w:iCs/>
        </w:rPr>
        <w:t xml:space="preserve">(direct ChatML inference). No synthetic or projected numbers — all figures are measured or clearly marked as extrapolated.</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6" Target="https://arxiv.org/abs/2511.23404" TargetMode="External" /><Relationship Type="http://schemas.openxmlformats.org/officeDocument/2006/relationships/hyperlink" Id="rId33" Target="https://group.mercedes-benz.com/technology/innovation/collaboration/liquid-ai.html" TargetMode="External" /><Relationship Type="http://schemas.openxmlformats.org/officeDocument/2006/relationships/hyperlink" Id="rId32" Target="https://www.liquid.ai/blog/liquid-ai-announces-multi-year-partnership-with-shopify-to-bring-sub-20ms-foundation-models-to-core-commerce-experiences" TargetMode="External" /></Relationships>
</file>

<file path=word/_rels/footnotes.xml.rels><?xml version="1.0" encoding="UTF-8"?><Relationships xmlns="http://schemas.openxmlformats.org/package/2006/relationships"><Relationship Type="http://schemas.openxmlformats.org/officeDocument/2006/relationships/hyperlink" Id="rId16" Target="https://arxiv.org/abs/2511.23404" TargetMode="External" /><Relationship Type="http://schemas.openxmlformats.org/officeDocument/2006/relationships/hyperlink" Id="rId33" Target="https://group.mercedes-benz.com/technology/innovation/collaboration/liquid-ai.html" TargetMode="External" /><Relationship Type="http://schemas.openxmlformats.org/officeDocument/2006/relationships/hyperlink" Id="rId32" Target="https://www.liquid.ai/blog/liquid-ai-announces-multi-year-partnership-with-shopify-to-bring-sub-20ms-foundation-models-to-core-commerce-experienc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2026-05-14T03:16:09Z</dcterms:created>
  <dcterms:modified xsi:type="dcterms:W3CDTF">2026-05-14T03:16:09Z</dcterms:modified>
</cp:coreProperties>
</file>

<file path=docProps/custom.xml><?xml version="1.0" encoding="utf-8"?>
<Properties xmlns="http://schemas.openxmlformats.org/officeDocument/2006/custom-properties" xmlns:vt="http://schemas.openxmlformats.org/officeDocument/2006/docPropsVTypes"/>
</file>