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MRNet Viva Preparation</w:t>
      </w:r>
    </w:p>
    <w:p>
      <w:pPr>
        <w:jc w:val="center"/>
      </w:pPr>
      <w:r>
        <w:rPr>
          <w:color w:val="4F606F"/>
          <w:sz w:val="24"/>
        </w:rPr>
        <w:t>Consolidated Model Card, Technical FAQ and Advanced Viva Questions</w:t>
      </w:r>
    </w:p>
    <w:p>
      <w:pPr>
        <w:pStyle w:val="BodyText"/>
      </w:pPr>
      <w:r>
        <w:t>Purpose: one consolidated preparation document combining the system card, technical FAQ, report findings and clinical presentation narrative. It includes harder high intermediate and advanced questions likely to distinguish a strong viva answer from a basic one.</w:t>
      </w:r>
    </w:p>
    <w:tbl>
      <w:tblPr>
        <w:tblW w:type="auto" w:w="0"/>
        <w:jc w:val="center"/>
        <w:tblLook w:firstColumn="1" w:firstRow="1" w:lastColumn="0" w:lastRow="0" w:noHBand="0" w:noVBand="1" w:val="04A0"/>
      </w:tblPr>
      <w:tblGrid>
        <w:gridCol w:w="3408"/>
        <w:gridCol w:w="3408"/>
        <w:gridCol w:w="3408"/>
      </w:tblGrid>
      <w:tr>
        <w:tc>
          <w:tcPr>
            <w:tcW w:type="dxa" w:w="3408"/>
            <w:shd w:fill="EEF2F5"/>
            <w:vAlign w:val="center"/>
          </w:tcPr>
          <w:p>
            <w:r/>
            <w:r>
              <w:rPr>
                <w:b/>
                <w:color w:val="13202B"/>
                <w:sz w:val="18"/>
              </w:rPr>
              <w:t>1. Model card</w:t>
            </w:r>
          </w:p>
        </w:tc>
        <w:tc>
          <w:tcPr>
            <w:tcW w:type="dxa" w:w="3408"/>
            <w:shd w:fill="EEF2F5"/>
            <w:vAlign w:val="center"/>
          </w:tcPr>
          <w:p>
            <w:r/>
            <w:r>
              <w:rPr>
                <w:b/>
                <w:color w:val="13202B"/>
                <w:sz w:val="18"/>
              </w:rPr>
              <w:t>2. Technical FAQ</w:t>
            </w:r>
          </w:p>
        </w:tc>
        <w:tc>
          <w:tcPr>
            <w:tcW w:type="dxa" w:w="3408"/>
            <w:shd w:fill="EEF2F5"/>
            <w:vAlign w:val="center"/>
          </w:tcPr>
          <w:p>
            <w:r/>
            <w:r>
              <w:rPr>
                <w:b/>
                <w:color w:val="13202B"/>
                <w:sz w:val="18"/>
              </w:rPr>
              <w:t>3. Other FAQ: clinical, data, architecture and viva challenge questions</w:t>
            </w:r>
          </w:p>
        </w:tc>
      </w:tr>
    </w:tbl>
    <w:p/>
    <w:p>
      <w:pPr>
        <w:pStyle w:val="Heading1"/>
      </w:pPr>
      <w:r>
        <w:t>1. Model Card</w:t>
      </w:r>
    </w:p>
    <w:tbl>
      <w:tblPr>
        <w:tblStyle w:val="TableGrid"/>
        <w:tblW w:type="auto" w:w="0"/>
        <w:jc w:val="center"/>
        <w:tblLook w:firstColumn="1" w:firstRow="1" w:lastColumn="0" w:lastRow="0" w:noHBand="0" w:noVBand="1" w:val="04A0"/>
      </w:tblPr>
      <w:tblGrid>
        <w:gridCol w:w="5112"/>
        <w:gridCol w:w="5112"/>
      </w:tblGrid>
      <w:tr>
        <w:tc>
          <w:tcPr>
            <w:tcW w:type="dxa" w:w="5112"/>
            <w:shd w:fill="13202B"/>
          </w:tcPr>
          <w:p>
            <w:r/>
            <w:r>
              <w:rPr>
                <w:b/>
                <w:color w:val="FFFFFF"/>
                <w:sz w:val="18"/>
              </w:rPr>
              <w:t>Field</w:t>
            </w:r>
          </w:p>
        </w:tc>
        <w:tc>
          <w:tcPr>
            <w:tcW w:type="dxa" w:w="5112"/>
            <w:shd w:fill="13202B"/>
          </w:tcPr>
          <w:p>
            <w:r/>
            <w:r>
              <w:rPr>
                <w:b/>
                <w:color w:val="FFFFFF"/>
                <w:sz w:val="18"/>
              </w:rPr>
              <w:t>Content</w:t>
            </w:r>
          </w:p>
        </w:tc>
      </w:tr>
      <w:tr>
        <w:tc>
          <w:tcPr>
            <w:tcW w:type="dxa" w:w="2376"/>
          </w:tcPr>
          <w:p>
            <w:r/>
            <w:r>
              <w:rPr>
                <w:b/>
                <w:color w:val="13202B"/>
                <w:sz w:val="17"/>
              </w:rPr>
              <w:t>System name</w:t>
            </w:r>
          </w:p>
        </w:tc>
        <w:tc>
          <w:tcPr>
            <w:tcW w:type="dxa" w:w="8280"/>
          </w:tcPr>
          <w:p>
            <w:r/>
            <w:r>
              <w:rPr>
                <w:b w:val="0"/>
                <w:sz w:val="17"/>
              </w:rPr>
              <w:t>MRNet knee MRI classification pipeline</w:t>
            </w:r>
          </w:p>
        </w:tc>
      </w:tr>
      <w:tr>
        <w:tc>
          <w:tcPr>
            <w:tcW w:type="dxa" w:w="2376"/>
          </w:tcPr>
          <w:p>
            <w:r/>
            <w:r>
              <w:rPr>
                <w:b/>
                <w:color w:val="13202B"/>
                <w:sz w:val="17"/>
              </w:rPr>
              <w:t>Purpose</w:t>
            </w:r>
          </w:p>
        </w:tc>
        <w:tc>
          <w:tcPr>
            <w:tcW w:type="dxa" w:w="8280"/>
          </w:tcPr>
          <w:p>
            <w:r/>
            <w:r>
              <w:rPr>
                <w:b w:val="0"/>
                <w:sz w:val="17"/>
              </w:rPr>
              <w:t>Educational model comparison for binary knee MRI classification and qualitative error analysis.</w:t>
            </w:r>
          </w:p>
        </w:tc>
      </w:tr>
      <w:tr>
        <w:tc>
          <w:tcPr>
            <w:tcW w:type="dxa" w:w="2376"/>
          </w:tcPr>
          <w:p>
            <w:r/>
            <w:r>
              <w:rPr>
                <w:b/>
                <w:color w:val="13202B"/>
                <w:sz w:val="17"/>
              </w:rPr>
              <w:t>Not intended for</w:t>
            </w:r>
          </w:p>
        </w:tc>
        <w:tc>
          <w:tcPr>
            <w:tcW w:type="dxa" w:w="8280"/>
          </w:tcPr>
          <w:p>
            <w:r/>
            <w:r>
              <w:rPr>
                <w:b w:val="0"/>
                <w:sz w:val="17"/>
              </w:rPr>
              <w:t>Patient care, radiology reporting, triage, treatment decisions or autonomous diagnosis.</w:t>
            </w:r>
          </w:p>
        </w:tc>
      </w:tr>
      <w:tr>
        <w:tc>
          <w:tcPr>
            <w:tcW w:type="dxa" w:w="2376"/>
          </w:tcPr>
          <w:p>
            <w:r/>
            <w:r>
              <w:rPr>
                <w:b/>
                <w:color w:val="13202B"/>
                <w:sz w:val="17"/>
              </w:rPr>
              <w:t>Tasks</w:t>
            </w:r>
          </w:p>
        </w:tc>
        <w:tc>
          <w:tcPr>
            <w:tcW w:type="dxa" w:w="8280"/>
          </w:tcPr>
          <w:p>
            <w:r/>
            <w:r>
              <w:rPr>
                <w:b w:val="0"/>
                <w:sz w:val="17"/>
              </w:rPr>
              <w:t>Abnormality, ACL tear and meniscal tear, each treated as a separate binary exam level task.</w:t>
            </w:r>
          </w:p>
        </w:tc>
      </w:tr>
      <w:tr>
        <w:tc>
          <w:tcPr>
            <w:tcW w:type="dxa" w:w="2376"/>
          </w:tcPr>
          <w:p>
            <w:r/>
            <w:r>
              <w:rPr>
                <w:b/>
                <w:color w:val="13202B"/>
                <w:sz w:val="17"/>
              </w:rPr>
              <w:t>Input data</w:t>
            </w:r>
          </w:p>
        </w:tc>
        <w:tc>
          <w:tcPr>
            <w:tcW w:type="dxa" w:w="8280"/>
          </w:tcPr>
          <w:p>
            <w:r/>
            <w:r>
              <w:rPr>
                <w:b w:val="0"/>
                <w:sz w:val="17"/>
              </w:rPr>
              <w:t>MRNet knee MRI exams stored as .npy volumes, with sagittal, coronal and axial planes.</w:t>
            </w:r>
          </w:p>
        </w:tc>
      </w:tr>
      <w:tr>
        <w:tc>
          <w:tcPr>
            <w:tcW w:type="dxa" w:w="2376"/>
          </w:tcPr>
          <w:p>
            <w:r/>
            <w:r>
              <w:rPr>
                <w:b/>
                <w:color w:val="13202B"/>
                <w:sz w:val="17"/>
              </w:rPr>
              <w:t>Labels</w:t>
            </w:r>
          </w:p>
        </w:tc>
        <w:tc>
          <w:tcPr>
            <w:tcW w:type="dxa" w:w="8280"/>
          </w:tcPr>
          <w:p>
            <w:r/>
            <w:r>
              <w:rPr>
                <w:b w:val="0"/>
                <w:sz w:val="17"/>
              </w:rPr>
              <w:t>Exam level binary labels. No slice labels, lesion boxes, masks, severity grades, surgical truth or outcome linkage.</w:t>
            </w:r>
          </w:p>
        </w:tc>
      </w:tr>
      <w:tr>
        <w:tc>
          <w:tcPr>
            <w:tcW w:type="dxa" w:w="2376"/>
          </w:tcPr>
          <w:p>
            <w:r/>
            <w:r>
              <w:rPr>
                <w:b/>
                <w:color w:val="13202B"/>
                <w:sz w:val="17"/>
              </w:rPr>
              <w:t>Model families</w:t>
            </w:r>
          </w:p>
        </w:tc>
        <w:tc>
          <w:tcPr>
            <w:tcW w:type="dxa" w:w="8280"/>
          </w:tcPr>
          <w:p>
            <w:r/>
            <w:r>
              <w:rPr>
                <w:b w:val="0"/>
                <w:sz w:val="17"/>
              </w:rPr>
              <w:t>Baseline ResNet18 with max slice pooling; enhanced ResNet18 with learned slice attention; Swin-Tiny slice encoder with learned slice attention.</w:t>
            </w:r>
          </w:p>
        </w:tc>
      </w:tr>
      <w:tr>
        <w:tc>
          <w:tcPr>
            <w:tcW w:type="dxa" w:w="2376"/>
          </w:tcPr>
          <w:p>
            <w:r/>
            <w:r>
              <w:rPr>
                <w:b/>
                <w:color w:val="13202B"/>
                <w:sz w:val="17"/>
              </w:rPr>
              <w:t>Validation design</w:t>
            </w:r>
          </w:p>
        </w:tc>
        <w:tc>
          <w:tcPr>
            <w:tcW w:type="dxa" w:w="8280"/>
          </w:tcPr>
          <w:p>
            <w:r/>
            <w:r>
              <w:rPr>
                <w:b w:val="0"/>
                <w:sz w:val="17"/>
              </w:rPr>
              <w:t>The official MRNet validation split was kept as the final held out evaluation set. Model selection used an internal 85/15 train-validation split.</w:t>
            </w:r>
          </w:p>
        </w:tc>
      </w:tr>
      <w:tr>
        <w:tc>
          <w:tcPr>
            <w:tcW w:type="dxa" w:w="2376"/>
          </w:tcPr>
          <w:p>
            <w:r/>
            <w:r>
              <w:rPr>
                <w:b/>
                <w:color w:val="13202B"/>
                <w:sz w:val="17"/>
              </w:rPr>
              <w:t>Fusion</w:t>
            </w:r>
          </w:p>
        </w:tc>
        <w:tc>
          <w:tcPr>
            <w:tcW w:type="dxa" w:w="8280"/>
          </w:tcPr>
          <w:p>
            <w:r/>
            <w:r>
              <w:rPr>
                <w:b w:val="0"/>
                <w:sz w:val="17"/>
              </w:rPr>
              <w:t>Equal averaging of sagittal, coronal and axial probabilities for final reporting. This avoided using held out labels to tune fusion weights.</w:t>
            </w:r>
          </w:p>
        </w:tc>
      </w:tr>
      <w:tr>
        <w:tc>
          <w:tcPr>
            <w:tcW w:type="dxa" w:w="2376"/>
          </w:tcPr>
          <w:p>
            <w:r/>
            <w:r>
              <w:rPr>
                <w:b/>
                <w:color w:val="13202B"/>
                <w:sz w:val="17"/>
              </w:rPr>
              <w:t>Main result</w:t>
            </w:r>
          </w:p>
        </w:tc>
        <w:tc>
          <w:tcPr>
            <w:tcW w:type="dxa" w:w="8280"/>
          </w:tcPr>
          <w:p>
            <w:r/>
            <w:r>
              <w:rPr>
                <w:b w:val="0"/>
                <w:sz w:val="17"/>
              </w:rPr>
              <w:t>Baseline ResNet18 had the strongest aggregate performance; SwinViT was strongest for abnormality; meniscal tear was hardest.</w:t>
            </w:r>
          </w:p>
        </w:tc>
      </w:tr>
    </w:tbl>
    <w:p>
      <w:pPr>
        <w:pStyle w:val="Heading2"/>
      </w:pPr>
      <w:r>
        <w:t>1.1 One minute system answer</w:t>
      </w:r>
    </w:p>
    <w:p>
      <w:pPr>
        <w:pStyle w:val="BodyText"/>
      </w:pPr>
      <w:r>
        <w:t>We compared three knee MRI classifiers on MRNet: a simple ResNet18 baseline with max slice pooling, an enhanced ResNet18 with learned slice attention, and a Swin-Tiny transformer with the same slice attention pooling. Each task and plane was modelled separately, and final probabilities used equal fusion across sagittal, coronal and axial planes. The official MRNet validation set was kept held out, while an internal 85/15 split was used for model selection. The baseline ResNet18 had the strongest aggregate held out performance, SwinViT was strongest for abnormality detection, and meniscal tear classification remained the hardest task. This is an educational benchmark, not a clinically validated diagnostic system.</w:t>
      </w:r>
    </w:p>
    <w:p>
      <w:pPr>
        <w:pStyle w:val="Heading2"/>
      </w:pPr>
      <w:r>
        <w:t>1.2 Dataset and label structure</w:t>
      </w:r>
    </w:p>
    <w:p>
      <w:pPr>
        <w:pStyle w:val="ListBullet"/>
      </w:pPr>
      <w:r>
        <w:t>MRNet has three exam level binary tasks: abnormality, ACL tear and meniscal tear.</w:t>
      </w:r>
    </w:p>
    <w:p>
      <w:pPr>
        <w:pStyle w:val="ListBullet"/>
      </w:pPr>
      <w:r>
        <w:t>The labels are multi-label rather than mutually exclusive. ACL tear and meniscal tear can overlap, and both can overlap with abnormality.</w:t>
      </w:r>
    </w:p>
    <w:p>
      <w:pPr>
        <w:pStyle w:val="ListBullet"/>
      </w:pPr>
      <w:r>
        <w:t>In the held out set, 119 exams were evaluated per task. Aggregated results pool 119 exams across three tasks, giving 357 task level predictions, not 357 unique patients.</w:t>
      </w:r>
    </w:p>
    <w:p>
      <w:pPr>
        <w:pStyle w:val="ListBullet"/>
      </w:pPr>
      <w:r>
        <w:t>The held out label overlap was clinically meaningful: 31 of 119 exams were both ACL positive and meniscus positive. This supports treating the labels as separate binary tasks rather than a single multi-class problem.</w:t>
      </w:r>
    </w:p>
    <w:p>
      <w:pPr>
        <w:pStyle w:val="ListBullet"/>
      </w:pPr>
      <w:r>
        <w:t>The main label limitation is absence of localisation and clinical granularity: no slice labels, no lesion boxes or masks, no severity, no surgical confirmation and no outcome linkage.</w:t>
      </w:r>
    </w:p>
    <w:p>
      <w:pPr>
        <w:pStyle w:val="Heading2"/>
      </w:pPr>
      <w:r>
        <w:t>1.3 Model families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3202B"/>
          </w:tcPr>
          <w:p>
            <w:r/>
            <w:r>
              <w:rPr>
                <w:b/>
                <w:color w:val="FFFFFF"/>
                <w:sz w:val="16"/>
              </w:rPr>
              <w:t>Model</w:t>
            </w:r>
          </w:p>
        </w:tc>
        <w:tc>
          <w:tcPr>
            <w:tcW w:type="dxa" w:w="2556"/>
            <w:shd w:fill="13202B"/>
          </w:tcPr>
          <w:p>
            <w:r/>
            <w:r>
              <w:rPr>
                <w:b/>
                <w:color w:val="FFFFFF"/>
                <w:sz w:val="16"/>
              </w:rPr>
              <w:t>Core design</w:t>
            </w:r>
          </w:p>
        </w:tc>
        <w:tc>
          <w:tcPr>
            <w:tcW w:type="dxa" w:w="2556"/>
            <w:shd w:fill="13202B"/>
          </w:tcPr>
          <w:p>
            <w:r/>
            <w:r>
              <w:rPr>
                <w:b/>
                <w:color w:val="FFFFFF"/>
                <w:sz w:val="16"/>
              </w:rPr>
              <w:t>Strengths</w:t>
            </w:r>
          </w:p>
        </w:tc>
        <w:tc>
          <w:tcPr>
            <w:tcW w:type="dxa" w:w="2556"/>
            <w:shd w:fill="13202B"/>
          </w:tcPr>
          <w:p>
            <w:r/>
            <w:r>
              <w:rPr>
                <w:b/>
                <w:color w:val="FFFFFF"/>
                <w:sz w:val="16"/>
              </w:rPr>
              <w:t>Limitations</w:t>
            </w:r>
          </w:p>
        </w:tc>
      </w:tr>
      <w:tr>
        <w:tc>
          <w:tcPr>
            <w:tcW w:type="dxa" w:w="2556"/>
          </w:tcPr>
          <w:p>
            <w:r/>
            <w:r>
              <w:rPr>
                <w:b/>
                <w:sz w:val="16"/>
              </w:rPr>
              <w:t>Baseline ResNet18</w:t>
            </w:r>
          </w:p>
        </w:tc>
        <w:tc>
          <w:tcPr>
            <w:tcW w:type="dxa" w:w="2556"/>
          </w:tcPr>
          <w:p>
            <w:r/>
            <w:r>
              <w:rPr>
                <w:b w:val="0"/>
                <w:sz w:val="16"/>
              </w:rPr>
              <w:t>2D ResNet18 slice encoder + max pooling across slices + dropout + linear classifier</w:t>
            </w:r>
          </w:p>
        </w:tc>
        <w:tc>
          <w:tcPr>
            <w:tcW w:type="dxa" w:w="2556"/>
          </w:tcPr>
          <w:p>
            <w:r/>
            <w:r>
              <w:rPr>
                <w:b w:val="0"/>
                <w:sz w:val="16"/>
              </w:rPr>
              <w:t>Simple, robust, lower complexity, strongest aggregate metrics</w:t>
            </w:r>
          </w:p>
        </w:tc>
        <w:tc>
          <w:tcPr>
            <w:tcW w:type="dxa" w:w="2556"/>
          </w:tcPr>
          <w:p>
            <w:r/>
            <w:r>
              <w:rPr>
                <w:b w:val="0"/>
                <w:sz w:val="16"/>
              </w:rPr>
              <w:t>Crude pooling; may ignore distributed evidence; no learned slice selection</w:t>
            </w:r>
          </w:p>
        </w:tc>
      </w:tr>
      <w:tr>
        <w:tc>
          <w:tcPr>
            <w:tcW w:type="dxa" w:w="2556"/>
          </w:tcPr>
          <w:p>
            <w:r/>
            <w:r>
              <w:rPr>
                <w:b/>
                <w:sz w:val="16"/>
              </w:rPr>
              <w:t>Enhanced ResNet18</w:t>
            </w:r>
          </w:p>
        </w:tc>
        <w:tc>
          <w:tcPr>
            <w:tcW w:type="dxa" w:w="2556"/>
          </w:tcPr>
          <w:p>
            <w:r/>
            <w:r>
              <w:rPr>
                <w:b w:val="0"/>
                <w:sz w:val="16"/>
              </w:rPr>
              <w:t>2D ResNet18 slice encoder + learned slice attention pooling + classifier</w:t>
            </w:r>
          </w:p>
        </w:tc>
        <w:tc>
          <w:tcPr>
            <w:tcW w:type="dxa" w:w="2556"/>
          </w:tcPr>
          <w:p>
            <w:r/>
            <w:r>
              <w:rPr>
                <w:b w:val="0"/>
                <w:sz w:val="16"/>
              </w:rPr>
              <w:t>More flexible; weak slice importance signal; same task and plane setup as SwinViT</w:t>
            </w:r>
          </w:p>
        </w:tc>
        <w:tc>
          <w:tcPr>
            <w:tcW w:type="dxa" w:w="2556"/>
          </w:tcPr>
          <w:p>
            <w:r/>
            <w:r>
              <w:rPr>
                <w:b w:val="0"/>
                <w:sz w:val="16"/>
              </w:rPr>
              <w:t>Attention is not localisation; did not beat baseline overall</w:t>
            </w:r>
          </w:p>
        </w:tc>
      </w:tr>
      <w:tr>
        <w:tc>
          <w:tcPr>
            <w:tcW w:type="dxa" w:w="2556"/>
          </w:tcPr>
          <w:p>
            <w:r/>
            <w:r>
              <w:rPr>
                <w:b/>
                <w:sz w:val="16"/>
              </w:rPr>
              <w:t>SwinViT</w:t>
            </w:r>
          </w:p>
        </w:tc>
        <w:tc>
          <w:tcPr>
            <w:tcW w:type="dxa" w:w="2556"/>
          </w:tcPr>
          <w:p>
            <w:r/>
            <w:r>
              <w:rPr>
                <w:b w:val="0"/>
                <w:sz w:val="16"/>
              </w:rPr>
              <w:t>Swin-Tiny slice encoder + learned slice attention pooling + classifier</w:t>
            </w:r>
          </w:p>
        </w:tc>
        <w:tc>
          <w:tcPr>
            <w:tcW w:type="dxa" w:w="2556"/>
          </w:tcPr>
          <w:p>
            <w:r/>
            <w:r>
              <w:rPr>
                <w:b w:val="0"/>
                <w:sz w:val="16"/>
              </w:rPr>
              <w:t>Strong abnormality classification; transformer features test a different inductive bias</w:t>
            </w:r>
          </w:p>
        </w:tc>
        <w:tc>
          <w:tcPr>
            <w:tcW w:type="dxa" w:w="2556"/>
          </w:tcPr>
          <w:p>
            <w:r/>
            <w:r>
              <w:rPr>
                <w:b w:val="0"/>
                <w:sz w:val="16"/>
              </w:rPr>
              <w:t>More complex; computationally heavier; did not consistently beat baseline</w:t>
            </w:r>
          </w:p>
        </w:tc>
      </w:tr>
    </w:tbl>
    <w:p>
      <w:pPr>
        <w:pStyle w:val="Heading2"/>
      </w:pPr>
      <w:r>
        <w:t>1.4 Final held out evaluation</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3202B"/>
          </w:tcPr>
          <w:p>
            <w:r/>
            <w:r>
              <w:rPr>
                <w:b/>
                <w:color w:val="FFFFFF"/>
                <w:sz w:val="15"/>
              </w:rPr>
              <w:t>Model</w:t>
            </w:r>
          </w:p>
        </w:tc>
        <w:tc>
          <w:tcPr>
            <w:tcW w:type="dxa" w:w="1278"/>
            <w:shd w:fill="13202B"/>
          </w:tcPr>
          <w:p>
            <w:r/>
            <w:r>
              <w:rPr>
                <w:b/>
                <w:color w:val="FFFFFF"/>
                <w:sz w:val="15"/>
              </w:rPr>
              <w:t>Abn ROC</w:t>
            </w:r>
          </w:p>
        </w:tc>
        <w:tc>
          <w:tcPr>
            <w:tcW w:type="dxa" w:w="1278"/>
            <w:shd w:fill="13202B"/>
          </w:tcPr>
          <w:p>
            <w:r/>
            <w:r>
              <w:rPr>
                <w:b/>
                <w:color w:val="FFFFFF"/>
                <w:sz w:val="15"/>
              </w:rPr>
              <w:t>ACL ROC</w:t>
            </w:r>
          </w:p>
        </w:tc>
        <w:tc>
          <w:tcPr>
            <w:tcW w:type="dxa" w:w="1278"/>
            <w:shd w:fill="13202B"/>
          </w:tcPr>
          <w:p>
            <w:r/>
            <w:r>
              <w:rPr>
                <w:b/>
                <w:color w:val="FFFFFF"/>
                <w:sz w:val="15"/>
              </w:rPr>
              <w:t>Men ROC</w:t>
            </w:r>
          </w:p>
        </w:tc>
        <w:tc>
          <w:tcPr>
            <w:tcW w:type="dxa" w:w="1278"/>
            <w:shd w:fill="13202B"/>
          </w:tcPr>
          <w:p>
            <w:r/>
            <w:r>
              <w:rPr>
                <w:b/>
                <w:color w:val="FFFFFF"/>
                <w:sz w:val="15"/>
              </w:rPr>
              <w:t>Agg ROC</w:t>
            </w:r>
          </w:p>
        </w:tc>
        <w:tc>
          <w:tcPr>
            <w:tcW w:type="dxa" w:w="1278"/>
            <w:shd w:fill="13202B"/>
          </w:tcPr>
          <w:p>
            <w:r/>
            <w:r>
              <w:rPr>
                <w:b/>
                <w:color w:val="FFFFFF"/>
                <w:sz w:val="15"/>
              </w:rPr>
              <w:t>Agg PR</w:t>
            </w:r>
          </w:p>
        </w:tc>
        <w:tc>
          <w:tcPr>
            <w:tcW w:type="dxa" w:w="1278"/>
            <w:shd w:fill="13202B"/>
          </w:tcPr>
          <w:p>
            <w:r/>
            <w:r>
              <w:rPr>
                <w:b/>
                <w:color w:val="FFFFFF"/>
                <w:sz w:val="15"/>
              </w:rPr>
              <w:t>Sens</w:t>
            </w:r>
          </w:p>
        </w:tc>
        <w:tc>
          <w:tcPr>
            <w:tcW w:type="dxa" w:w="1278"/>
            <w:shd w:fill="13202B"/>
          </w:tcPr>
          <w:p>
            <w:r/>
            <w:r>
              <w:rPr>
                <w:b/>
                <w:color w:val="FFFFFF"/>
                <w:sz w:val="15"/>
              </w:rPr>
              <w:t>Spec</w:t>
            </w:r>
          </w:p>
        </w:tc>
      </w:tr>
      <w:tr>
        <w:tc>
          <w:tcPr>
            <w:tcW w:type="dxa" w:w="1278"/>
          </w:tcPr>
          <w:p>
            <w:r/>
            <w:r>
              <w:rPr>
                <w:b/>
                <w:sz w:val="15"/>
              </w:rPr>
              <w:t>Baseline ResNet18</w:t>
            </w:r>
          </w:p>
        </w:tc>
        <w:tc>
          <w:tcPr>
            <w:tcW w:type="dxa" w:w="1278"/>
          </w:tcPr>
          <w:p>
            <w:r/>
            <w:r>
              <w:rPr>
                <w:b w:val="0"/>
                <w:sz w:val="15"/>
              </w:rPr>
              <w:t>0.878</w:t>
            </w:r>
          </w:p>
        </w:tc>
        <w:tc>
          <w:tcPr>
            <w:tcW w:type="dxa" w:w="1278"/>
          </w:tcPr>
          <w:p>
            <w:r/>
            <w:r>
              <w:rPr>
                <w:b w:val="0"/>
                <w:sz w:val="15"/>
              </w:rPr>
              <w:t>0.968</w:t>
            </w:r>
          </w:p>
        </w:tc>
        <w:tc>
          <w:tcPr>
            <w:tcW w:type="dxa" w:w="1278"/>
          </w:tcPr>
          <w:p>
            <w:r/>
            <w:r>
              <w:rPr>
                <w:b w:val="0"/>
                <w:sz w:val="15"/>
              </w:rPr>
              <w:t>0.798</w:t>
            </w:r>
          </w:p>
        </w:tc>
        <w:tc>
          <w:tcPr>
            <w:tcW w:type="dxa" w:w="1278"/>
          </w:tcPr>
          <w:p>
            <w:r/>
            <w:r>
              <w:rPr>
                <w:b/>
                <w:sz w:val="15"/>
              </w:rPr>
              <w:t>0.898</w:t>
            </w:r>
          </w:p>
        </w:tc>
        <w:tc>
          <w:tcPr>
            <w:tcW w:type="dxa" w:w="1278"/>
          </w:tcPr>
          <w:p>
            <w:r/>
            <w:r>
              <w:rPr>
                <w:b/>
                <w:sz w:val="15"/>
              </w:rPr>
              <w:t>0.910</w:t>
            </w:r>
          </w:p>
        </w:tc>
        <w:tc>
          <w:tcPr>
            <w:tcW w:type="dxa" w:w="1278"/>
          </w:tcPr>
          <w:p>
            <w:r/>
            <w:r>
              <w:rPr>
                <w:b/>
                <w:sz w:val="15"/>
              </w:rPr>
              <w:t>0.905</w:t>
            </w:r>
          </w:p>
        </w:tc>
        <w:tc>
          <w:tcPr>
            <w:tcW w:type="dxa" w:w="1278"/>
          </w:tcPr>
          <w:p>
            <w:r/>
            <w:r>
              <w:rPr>
                <w:b w:val="0"/>
                <w:sz w:val="15"/>
              </w:rPr>
              <w:t>0.750</w:t>
            </w:r>
          </w:p>
        </w:tc>
      </w:tr>
      <w:tr>
        <w:tc>
          <w:tcPr>
            <w:tcW w:type="dxa" w:w="1278"/>
          </w:tcPr>
          <w:p>
            <w:r/>
            <w:r>
              <w:rPr>
                <w:b/>
                <w:sz w:val="15"/>
              </w:rPr>
              <w:t>Enhanced ResNet18</w:t>
            </w:r>
          </w:p>
        </w:tc>
        <w:tc>
          <w:tcPr>
            <w:tcW w:type="dxa" w:w="1278"/>
          </w:tcPr>
          <w:p>
            <w:r/>
            <w:r>
              <w:rPr>
                <w:b w:val="0"/>
                <w:sz w:val="15"/>
              </w:rPr>
              <w:t>0.872</w:t>
            </w:r>
          </w:p>
        </w:tc>
        <w:tc>
          <w:tcPr>
            <w:tcW w:type="dxa" w:w="1278"/>
          </w:tcPr>
          <w:p>
            <w:r/>
            <w:r>
              <w:rPr>
                <w:b w:val="0"/>
                <w:sz w:val="15"/>
              </w:rPr>
              <w:t>0.879</w:t>
            </w:r>
          </w:p>
        </w:tc>
        <w:tc>
          <w:tcPr>
            <w:tcW w:type="dxa" w:w="1278"/>
          </w:tcPr>
          <w:p>
            <w:r/>
            <w:r>
              <w:rPr>
                <w:b w:val="0"/>
                <w:sz w:val="15"/>
              </w:rPr>
              <w:t>0.765</w:t>
            </w:r>
          </w:p>
        </w:tc>
        <w:tc>
          <w:tcPr>
            <w:tcW w:type="dxa" w:w="1278"/>
          </w:tcPr>
          <w:p>
            <w:r/>
            <w:r>
              <w:rPr>
                <w:b w:val="0"/>
                <w:sz w:val="15"/>
              </w:rPr>
              <w:t>0.859</w:t>
            </w:r>
          </w:p>
        </w:tc>
        <w:tc>
          <w:tcPr>
            <w:tcW w:type="dxa" w:w="1278"/>
          </w:tcPr>
          <w:p>
            <w:r/>
            <w:r>
              <w:rPr>
                <w:b w:val="0"/>
                <w:sz w:val="15"/>
              </w:rPr>
              <w:t>0.890</w:t>
            </w:r>
          </w:p>
        </w:tc>
        <w:tc>
          <w:tcPr>
            <w:tcW w:type="dxa" w:w="1278"/>
          </w:tcPr>
          <w:p>
            <w:r/>
            <w:r>
              <w:rPr>
                <w:b w:val="0"/>
                <w:sz w:val="15"/>
              </w:rPr>
              <w:t>0.816</w:t>
            </w:r>
          </w:p>
        </w:tc>
        <w:tc>
          <w:tcPr>
            <w:tcW w:type="dxa" w:w="1278"/>
          </w:tcPr>
          <w:p>
            <w:r/>
            <w:r>
              <w:rPr>
                <w:b w:val="0"/>
                <w:sz w:val="15"/>
              </w:rPr>
              <w:t>0.763</w:t>
            </w:r>
          </w:p>
        </w:tc>
      </w:tr>
      <w:tr>
        <w:tc>
          <w:tcPr>
            <w:tcW w:type="dxa" w:w="1278"/>
          </w:tcPr>
          <w:p>
            <w:r/>
            <w:r>
              <w:rPr>
                <w:b/>
                <w:sz w:val="15"/>
              </w:rPr>
              <w:t>SwinViT</w:t>
            </w:r>
          </w:p>
        </w:tc>
        <w:tc>
          <w:tcPr>
            <w:tcW w:type="dxa" w:w="1278"/>
          </w:tcPr>
          <w:p>
            <w:r/>
            <w:r>
              <w:rPr>
                <w:b/>
                <w:sz w:val="15"/>
              </w:rPr>
              <w:t>0.928</w:t>
            </w:r>
          </w:p>
        </w:tc>
        <w:tc>
          <w:tcPr>
            <w:tcW w:type="dxa" w:w="1278"/>
          </w:tcPr>
          <w:p>
            <w:r/>
            <w:r>
              <w:rPr>
                <w:b w:val="0"/>
                <w:sz w:val="15"/>
              </w:rPr>
              <w:t>0.927</w:t>
            </w:r>
          </w:p>
        </w:tc>
        <w:tc>
          <w:tcPr>
            <w:tcW w:type="dxa" w:w="1278"/>
          </w:tcPr>
          <w:p>
            <w:r/>
            <w:r>
              <w:rPr>
                <w:b w:val="0"/>
                <w:sz w:val="15"/>
              </w:rPr>
              <w:t>0.804</w:t>
            </w:r>
          </w:p>
        </w:tc>
        <w:tc>
          <w:tcPr>
            <w:tcW w:type="dxa" w:w="1278"/>
          </w:tcPr>
          <w:p>
            <w:r/>
            <w:r>
              <w:rPr>
                <w:b w:val="0"/>
                <w:sz w:val="15"/>
              </w:rPr>
              <w:t>0.887</w:t>
            </w:r>
          </w:p>
        </w:tc>
        <w:tc>
          <w:tcPr>
            <w:tcW w:type="dxa" w:w="1278"/>
          </w:tcPr>
          <w:p>
            <w:r/>
            <w:r>
              <w:rPr>
                <w:b w:val="0"/>
                <w:sz w:val="15"/>
              </w:rPr>
              <w:t>0.907</w:t>
            </w:r>
          </w:p>
        </w:tc>
        <w:tc>
          <w:tcPr>
            <w:tcW w:type="dxa" w:w="1278"/>
          </w:tcPr>
          <w:p>
            <w:r/>
            <w:r>
              <w:rPr>
                <w:b w:val="0"/>
                <w:sz w:val="15"/>
              </w:rPr>
              <w:t>0.881</w:t>
            </w:r>
          </w:p>
        </w:tc>
        <w:tc>
          <w:tcPr>
            <w:tcW w:type="dxa" w:w="1278"/>
          </w:tcPr>
          <w:p>
            <w:r/>
            <w:r>
              <w:rPr>
                <w:b w:val="0"/>
                <w:sz w:val="15"/>
              </w:rPr>
              <w:t>0.731</w:t>
            </w:r>
          </w:p>
        </w:tc>
      </w:tr>
    </w:tbl>
    <w:p>
      <w:pPr>
        <w:pStyle w:val="BodyText"/>
      </w:pPr>
      <w:r>
        <w:t>Interpretation: the baseline ResNet18 had the best aggregate ROC-AUC, PR-AUC, sensitivity, accuracy and F1 under equal fusion. Enhanced ResNet18 had the highest specificity. SwinViT was strongest for abnormality classification. Meniscal tear classification was consistently the hardest task.</w:t>
      </w:r>
    </w:p>
    <w:p>
      <w:pPr>
        <w:pStyle w:val="Heading2"/>
      </w:pPr>
      <w:r>
        <w:t>1.5 Key risks and limitations</w:t>
      </w:r>
    </w:p>
    <w:tbl>
      <w:tblPr>
        <w:tblStyle w:val="TableGrid"/>
        <w:tblW w:type="auto" w:w="0"/>
        <w:jc w:val="center"/>
        <w:tblLook w:firstColumn="1" w:firstRow="1" w:lastColumn="0" w:lastRow="0" w:noHBand="0" w:noVBand="1" w:val="04A0"/>
      </w:tblPr>
      <w:tblGrid>
        <w:gridCol w:w="5112"/>
        <w:gridCol w:w="5112"/>
      </w:tblGrid>
      <w:tr>
        <w:tc>
          <w:tcPr>
            <w:tcW w:type="dxa" w:w="5112"/>
            <w:shd w:fill="13202B"/>
          </w:tcPr>
          <w:p>
            <w:r/>
            <w:r>
              <w:rPr>
                <w:b/>
                <w:color w:val="FFFFFF"/>
                <w:sz w:val="17"/>
              </w:rPr>
              <w:t>Risk</w:t>
            </w:r>
          </w:p>
        </w:tc>
        <w:tc>
          <w:tcPr>
            <w:tcW w:type="dxa" w:w="5112"/>
            <w:shd w:fill="13202B"/>
          </w:tcPr>
          <w:p>
            <w:r/>
            <w:r>
              <w:rPr>
                <w:b/>
                <w:color w:val="FFFFFF"/>
                <w:sz w:val="17"/>
              </w:rPr>
              <w:t>Viva answer</w:t>
            </w:r>
          </w:p>
        </w:tc>
      </w:tr>
      <w:tr>
        <w:tc>
          <w:tcPr>
            <w:tcW w:type="dxa" w:w="5112"/>
          </w:tcPr>
          <w:p>
            <w:r/>
            <w:r>
              <w:rPr>
                <w:b/>
                <w:sz w:val="16"/>
              </w:rPr>
              <w:t>Small held out set</w:t>
            </w:r>
          </w:p>
        </w:tc>
        <w:tc>
          <w:tcPr>
            <w:tcW w:type="dxa" w:w="5112"/>
          </w:tcPr>
          <w:p>
            <w:r/>
            <w:r>
              <w:rPr>
                <w:b w:val="0"/>
                <w:sz w:val="16"/>
              </w:rPr>
              <w:t>119 exams per task limits precision and makes confidence intervals important.</w:t>
            </w:r>
          </w:p>
        </w:tc>
      </w:tr>
      <w:tr>
        <w:tc>
          <w:tcPr>
            <w:tcW w:type="dxa" w:w="5112"/>
          </w:tcPr>
          <w:p>
            <w:r/>
            <w:r>
              <w:rPr>
                <w:b/>
                <w:sz w:val="16"/>
              </w:rPr>
              <w:t>Exam level labels</w:t>
            </w:r>
          </w:p>
        </w:tc>
        <w:tc>
          <w:tcPr>
            <w:tcW w:type="dxa" w:w="5112"/>
          </w:tcPr>
          <w:p>
            <w:r/>
            <w:r>
              <w:rPr>
                <w:b w:val="0"/>
                <w:sz w:val="16"/>
              </w:rPr>
              <w:t>The model is not trained with lesion level localisation, so a correct prediction may still be based on non-specific or spurious features.</w:t>
            </w:r>
          </w:p>
        </w:tc>
      </w:tr>
      <w:tr>
        <w:tc>
          <w:tcPr>
            <w:tcW w:type="dxa" w:w="5112"/>
          </w:tcPr>
          <w:p>
            <w:r/>
            <w:r>
              <w:rPr>
                <w:b/>
                <w:sz w:val="16"/>
              </w:rPr>
              <w:t>Threshold choice</w:t>
            </w:r>
          </w:p>
        </w:tc>
        <w:tc>
          <w:tcPr>
            <w:tcW w:type="dxa" w:w="5112"/>
          </w:tcPr>
          <w:p>
            <w:r/>
            <w:r>
              <w:rPr>
                <w:b w:val="0"/>
                <w:sz w:val="16"/>
              </w:rPr>
              <w:t>Sensitivity, specificity, accuracy and F1 depend on the default 0.5 threshold. Clinical deployment would need calibrated operating points.</w:t>
            </w:r>
          </w:p>
        </w:tc>
      </w:tr>
      <w:tr>
        <w:tc>
          <w:tcPr>
            <w:tcW w:type="dxa" w:w="5112"/>
          </w:tcPr>
          <w:p>
            <w:r/>
            <w:r>
              <w:rPr>
                <w:b/>
                <w:sz w:val="16"/>
              </w:rPr>
              <w:t>External validity</w:t>
            </w:r>
          </w:p>
        </w:tc>
        <w:tc>
          <w:tcPr>
            <w:tcW w:type="dxa" w:w="5112"/>
          </w:tcPr>
          <w:p>
            <w:r/>
            <w:r>
              <w:rPr>
                <w:b w:val="0"/>
                <w:sz w:val="16"/>
              </w:rPr>
              <w:t>MRI acquisition variability, scanner differences and demographic variation were not tested.</w:t>
            </w:r>
          </w:p>
        </w:tc>
      </w:tr>
      <w:tr>
        <w:tc>
          <w:tcPr>
            <w:tcW w:type="dxa" w:w="5112"/>
          </w:tcPr>
          <w:p>
            <w:r/>
            <w:r>
              <w:rPr>
                <w:b/>
                <w:sz w:val="16"/>
              </w:rPr>
              <w:t>Explainability</w:t>
            </w:r>
          </w:p>
        </w:tc>
        <w:tc>
          <w:tcPr>
            <w:tcW w:type="dxa" w:w="5112"/>
          </w:tcPr>
          <w:p>
            <w:r/>
            <w:r>
              <w:rPr>
                <w:b w:val="0"/>
                <w:sz w:val="16"/>
              </w:rPr>
              <w:t>Grad-CAM is useful for error review but does not prove radiologist-like reasoning.</w:t>
            </w:r>
          </w:p>
        </w:tc>
      </w:tr>
      <w:tr>
        <w:tc>
          <w:tcPr>
            <w:tcW w:type="dxa" w:w="5112"/>
          </w:tcPr>
          <w:p>
            <w:r/>
            <w:r>
              <w:rPr>
                <w:b/>
                <w:sz w:val="16"/>
              </w:rPr>
              <w:t>Clinical status</w:t>
            </w:r>
          </w:p>
        </w:tc>
        <w:tc>
          <w:tcPr>
            <w:tcW w:type="dxa" w:w="5112"/>
          </w:tcPr>
          <w:p>
            <w:r/>
            <w:r>
              <w:rPr>
                <w:b w:val="0"/>
                <w:sz w:val="16"/>
              </w:rPr>
              <w:t>This is an educational assignment and should not be described as a deployable diagnostic product.</w:t>
            </w:r>
          </w:p>
        </w:tc>
      </w:tr>
    </w:tbl>
    <w:p>
      <w:r>
        <w:br w:type="page"/>
      </w:r>
    </w:p>
    <w:p>
      <w:pPr>
        <w:pStyle w:val="Heading1"/>
      </w:pPr>
      <w:r>
        <w:t>2. Technical FAQ</w:t>
      </w:r>
    </w:p>
    <w:p>
      <w:pPr>
        <w:pStyle w:val="BodyText"/>
      </w:pPr>
      <w:r>
        <w:t>The questions below deliberately move from core technical recall to high intermediate and advanced viva challenges. The aim is to be able to answer the examiner, then add one extra layer of insight without overclaiming.</w:t>
      </w:r>
    </w:p>
    <w:p>
      <w:pPr>
        <w:pStyle w:val="QHeading"/>
      </w:pPr>
      <w:r>
        <w:rPr>
          <w:b/>
        </w:rPr>
        <w:t>Q1. What problem are we solving technically?</w:t>
      </w:r>
      <w:r>
        <w:rPr>
          <w:b/>
          <w:color w:val="B87C0D"/>
        </w:rPr>
        <w:t xml:space="preserve">  [Core]</w:t>
      </w:r>
    </w:p>
    <w:p>
      <w:pPr>
        <w:pStyle w:val="KeyPoint"/>
      </w:pPr>
      <w:r>
        <w:rPr>
          <w:b/>
        </w:rPr>
        <w:t xml:space="preserve">Key point: </w:t>
      </w:r>
      <w:r>
        <w:t>Three separate binary exam level classification tasks, not one multi-class problem.</w:t>
      </w:r>
    </w:p>
    <w:p>
      <w:pPr>
        <w:pStyle w:val="BodyText"/>
      </w:pPr>
      <w:r>
        <w:t>We classify MRNet knee MRI exams for abnormality, ACL tear and meniscal tear. Each task is binary and exam level. The model sees many slices but receives one exam label per task. This is why the architecture has to aggregate slice information into an exam level prediction.</w:t>
      </w:r>
    </w:p>
    <w:p>
      <w:pPr>
        <w:pStyle w:val="QHeading"/>
      </w:pPr>
      <w:r>
        <w:rPr>
          <w:b/>
        </w:rPr>
        <w:t>Q2. Why treat ACL and meniscus as separate binary tasks rather than a multi-class task?</w:t>
      </w:r>
      <w:r>
        <w:rPr>
          <w:b/>
          <w:color w:val="B87C0D"/>
        </w:rPr>
        <w:t xml:space="preserve">  [Core]</w:t>
      </w:r>
    </w:p>
    <w:p>
      <w:pPr>
        <w:pStyle w:val="KeyPoint"/>
      </w:pPr>
      <w:r>
        <w:rPr>
          <w:b/>
        </w:rPr>
        <w:t xml:space="preserve">Key point: </w:t>
      </w:r>
      <w:r>
        <w:t>Because the labels overlap clinically and in the held out data.</w:t>
      </w:r>
    </w:p>
    <w:p>
      <w:pPr>
        <w:pStyle w:val="BodyText"/>
      </w:pPr>
      <w:r>
        <w:t>ACL tear and meniscal tear are not mutually exclusive. Some exams are positive for both. A multi-class formulation would force each exam into one category and lose clinically important co-occurrence. Separate binary tasks are more faithful to the label structure.</w:t>
      </w:r>
    </w:p>
    <w:p>
      <w:pPr>
        <w:pStyle w:val="QHeading"/>
      </w:pPr>
      <w:r>
        <w:rPr>
          <w:b/>
        </w:rPr>
        <w:t>Q3. How does the baseline ResNet18 work?</w:t>
      </w:r>
      <w:r>
        <w:rPr>
          <w:b/>
          <w:color w:val="B87C0D"/>
        </w:rPr>
        <w:t xml:space="preserve">  [Core]</w:t>
      </w:r>
    </w:p>
    <w:p>
      <w:pPr>
        <w:pStyle w:val="KeyPoint"/>
      </w:pPr>
      <w:r>
        <w:rPr>
          <w:b/>
        </w:rPr>
        <w:t xml:space="preserve">Key point: </w:t>
      </w:r>
      <w:r>
        <w:t>2D slice features plus max pooling across slices.</w:t>
      </w:r>
    </w:p>
    <w:p>
      <w:pPr>
        <w:pStyle w:val="BodyText"/>
      </w:pPr>
      <w:r>
        <w:t>Each MRI slice is repeated across three channels and passed through a pretrained ResNet18 without its classification head. This creates one feature vector per slice. Max pooling across slices creates one exam representation, followed by dropout and a linear classifier.</w:t>
      </w:r>
    </w:p>
    <w:p>
      <w:pPr>
        <w:pStyle w:val="QHeading"/>
      </w:pPr>
      <w:r>
        <w:rPr>
          <w:b/>
        </w:rPr>
        <w:t>Q4. Why use max pooling across slices?</w:t>
      </w:r>
      <w:r>
        <w:rPr>
          <w:b/>
          <w:color w:val="B87C0D"/>
        </w:rPr>
        <w:t xml:space="preserve">  [Core]</w:t>
      </w:r>
    </w:p>
    <w:p>
      <w:pPr>
        <w:pStyle w:val="KeyPoint"/>
      </w:pPr>
      <w:r>
        <w:rPr>
          <w:b/>
        </w:rPr>
        <w:t xml:space="preserve">Key point: </w:t>
      </w:r>
      <w:r>
        <w:t>It is a simple multiple instance learning assumption: one very informative slice may drive the label.</w:t>
      </w:r>
    </w:p>
    <w:p>
      <w:pPr>
        <w:pStyle w:val="BodyText"/>
      </w:pPr>
      <w:r>
        <w:t>ACL or meniscal pathology may only be visible in a small number of slices. Max pooling preserves the strongest feature response across the volume. The limitation is that it may ignore distributed evidence and may select a strong artefact as if it were pathology.</w:t>
      </w:r>
    </w:p>
    <w:p>
      <w:pPr>
        <w:pStyle w:val="QHeading"/>
      </w:pPr>
      <w:r>
        <w:rPr>
          <w:b/>
        </w:rPr>
        <w:t>Q5. What makes the enhanced ResNet18 different?</w:t>
      </w:r>
      <w:r>
        <w:rPr>
          <w:b/>
          <w:color w:val="B87C0D"/>
        </w:rPr>
        <w:t xml:space="preserve">  [Core]</w:t>
      </w:r>
    </w:p>
    <w:p>
      <w:pPr>
        <w:pStyle w:val="KeyPoint"/>
      </w:pPr>
      <w:r>
        <w:rPr>
          <w:b/>
        </w:rPr>
        <w:t xml:space="preserve">Key point: </w:t>
      </w:r>
      <w:r>
        <w:t>It replaces hard max pooling with learned slice attention.</w:t>
      </w:r>
    </w:p>
    <w:p>
      <w:pPr>
        <w:pStyle w:val="BodyText"/>
      </w:pPr>
      <w:r>
        <w:t>The ResNet18 encoder remains the slice feature extractor. Instead of max pooling, a learned attention gate scores each slice, softmax converts scores into weights, and the exam representation is a weighted sum of slice features.</w:t>
      </w:r>
    </w:p>
    <w:p>
      <w:pPr>
        <w:pStyle w:val="QHeading"/>
      </w:pPr>
      <w:r>
        <w:rPr>
          <w:b/>
        </w:rPr>
        <w:t>Q6. Is slice attention the same as localisation or explainability?</w:t>
      </w:r>
      <w:r>
        <w:rPr>
          <w:b/>
          <w:color w:val="B87C0D"/>
        </w:rPr>
        <w:t xml:space="preserve">  [Core]</w:t>
      </w:r>
    </w:p>
    <w:p>
      <w:pPr>
        <w:pStyle w:val="KeyPoint"/>
      </w:pPr>
      <w:r>
        <w:rPr>
          <w:b/>
        </w:rPr>
        <w:t xml:space="preserve">Key point: </w:t>
      </w:r>
      <w:r>
        <w:t>No. Attention weights are a weak importance signal, not a verified explanation.</w:t>
      </w:r>
    </w:p>
    <w:p>
      <w:pPr>
        <w:pStyle w:val="BodyText"/>
      </w:pPr>
      <w:r>
        <w:t>Attention tells us which slice features the model weighted, but not necessarily whether that weighting is clinically meaningful or causally responsible for the prediction. It is not the same as a lesion box, segmentation mask or radiologist annotation.</w:t>
      </w:r>
    </w:p>
    <w:p>
      <w:pPr>
        <w:pStyle w:val="QHeading"/>
      </w:pPr>
      <w:r>
        <w:rPr>
          <w:b/>
        </w:rPr>
        <w:t>Q7. What is SwinViT doing here?</w:t>
      </w:r>
      <w:r>
        <w:rPr>
          <w:b/>
          <w:color w:val="B87C0D"/>
        </w:rPr>
        <w:t xml:space="preserve">  [Core]</w:t>
      </w:r>
    </w:p>
    <w:p>
      <w:pPr>
        <w:pStyle w:val="KeyPoint"/>
      </w:pPr>
      <w:r>
        <w:rPr>
          <w:b/>
        </w:rPr>
        <w:t xml:space="preserve">Key point: </w:t>
      </w:r>
      <w:r>
        <w:t>It tests a transformer slice encoder against CNN slice encoders.</w:t>
      </w:r>
    </w:p>
    <w:p>
      <w:pPr>
        <w:pStyle w:val="BodyText"/>
      </w:pPr>
      <w:r>
        <w:t>SwinViT uses window based self attention with shifted windows, allowing the model to capture spatial relationships differently from convolution. In this project it is used as a slice encoder, then combined with learned slice attention pooling.</w:t>
      </w:r>
    </w:p>
    <w:p>
      <w:pPr>
        <w:pStyle w:val="QHeading"/>
      </w:pPr>
      <w:r>
        <w:rPr>
          <w:b/>
        </w:rPr>
        <w:t>Q8. Was the Swin model a true 3D transformer?</w:t>
      </w:r>
      <w:r>
        <w:rPr>
          <w:b/>
          <w:color w:val="B87C0D"/>
        </w:rPr>
        <w:t xml:space="preserve">  [High intermediate]</w:t>
      </w:r>
    </w:p>
    <w:p>
      <w:pPr>
        <w:pStyle w:val="KeyPoint"/>
      </w:pPr>
      <w:r>
        <w:rPr>
          <w:b/>
        </w:rPr>
        <w:t xml:space="preserve">Key point: </w:t>
      </w:r>
      <w:r>
        <w:t>No. It used slice level Swin-Tiny features with slice attention and plane fusion.</w:t>
      </w:r>
    </w:p>
    <w:p>
      <w:pPr>
        <w:pStyle w:val="BodyText"/>
      </w:pPr>
      <w:r>
        <w:t>This matters because a true 3D transformer would model through-plane spatial structure directly. Our Swin approach was closer to a 2D slice encoder plus exam aggregation. It tests transformer features, but should not be oversold as full volumetric reasoning.</w:t>
      </w:r>
    </w:p>
    <w:p>
      <w:pPr>
        <w:pStyle w:val="QHeading"/>
      </w:pPr>
      <w:r>
        <w:rPr>
          <w:b/>
        </w:rPr>
        <w:t>Q9. Why not use a full 3D CNN or 3D transformer?</w:t>
      </w:r>
      <w:r>
        <w:rPr>
          <w:b/>
          <w:color w:val="B87C0D"/>
        </w:rPr>
        <w:t xml:space="preserve">  [Intermediate]</w:t>
      </w:r>
    </w:p>
    <w:p>
      <w:pPr>
        <w:pStyle w:val="KeyPoint"/>
      </w:pPr>
      <w:r>
        <w:rPr>
          <w:b/>
        </w:rPr>
        <w:t xml:space="preserve">Key point: </w:t>
      </w:r>
      <w:r>
        <w:t>More direct volumetric modelling is attractive but more data and compute hungry.</w:t>
      </w:r>
    </w:p>
    <w:p>
      <w:pPr>
        <w:pStyle w:val="BodyText"/>
      </w:pPr>
      <w:r>
        <w:t>A 3D model could capture through-plane context more directly. The trade-off is memory, compute, variable slice counts, and greater overfitting risk in a relatively small dataset. A strong future study would compare 2D, 2.5D, 3D and hybrid models under the same validation protocol.</w:t>
      </w:r>
    </w:p>
    <w:p>
      <w:pPr>
        <w:pStyle w:val="QHeading"/>
      </w:pPr>
      <w:r>
        <w:rPr>
          <w:b/>
        </w:rPr>
        <w:t>Q10. How did we avoid test set leakage?</w:t>
      </w:r>
      <w:r>
        <w:rPr>
          <w:b/>
          <w:color w:val="B87C0D"/>
        </w:rPr>
        <w:t xml:space="preserve">  [Core]</w:t>
      </w:r>
    </w:p>
    <w:p>
      <w:pPr>
        <w:pStyle w:val="KeyPoint"/>
      </w:pPr>
      <w:r>
        <w:rPr>
          <w:b/>
        </w:rPr>
        <w:t xml:space="preserve">Key point: </w:t>
      </w:r>
      <w:r>
        <w:t>Model selection used internal validation; final fusion used equal averaging.</w:t>
      </w:r>
    </w:p>
    <w:p>
      <w:pPr>
        <w:pStyle w:val="BodyText"/>
      </w:pPr>
      <w:r>
        <w:t>The official MRNet validation set was treated as held out. Training data were split internally for model selection and early stopping. Equal fusion across planes avoided tuning fusion weights on held out labels.</w:t>
      </w:r>
    </w:p>
    <w:p>
      <w:pPr>
        <w:pStyle w:val="QHeading"/>
      </w:pPr>
      <w:r>
        <w:rPr>
          <w:b/>
        </w:rPr>
        <w:t>Q11. Why use equal fusion instead of learned fusion?</w:t>
      </w:r>
      <w:r>
        <w:rPr>
          <w:b/>
          <w:color w:val="B87C0D"/>
        </w:rPr>
        <w:t xml:space="preserve">  [Core]</w:t>
      </w:r>
    </w:p>
    <w:p>
      <w:pPr>
        <w:pStyle w:val="KeyPoint"/>
      </w:pPr>
      <w:r>
        <w:rPr>
          <w:b/>
        </w:rPr>
        <w:t xml:space="preserve">Key point: </w:t>
      </w:r>
      <w:r>
        <w:t>It is conservative and avoids tuning on held out labels.</w:t>
      </w:r>
    </w:p>
    <w:p>
      <w:pPr>
        <w:pStyle w:val="BodyText"/>
      </w:pPr>
      <w:r>
        <w:t>Learned fusion can be valid only if fusion weights are learned on training or internal validation data and frozen before held out testing. Optimising fusion weights directly on held out labels would leak evaluation information and inflate performance.</w:t>
      </w:r>
    </w:p>
    <w:p>
      <w:pPr>
        <w:pStyle w:val="QHeading"/>
      </w:pPr>
      <w:r>
        <w:rPr>
          <w:b/>
        </w:rPr>
        <w:t>Q12. Could best plane selection have been valid?</w:t>
      </w:r>
      <w:r>
        <w:rPr>
          <w:b/>
          <w:color w:val="B87C0D"/>
        </w:rPr>
        <w:t xml:space="preserve">  [Intermediate]</w:t>
      </w:r>
    </w:p>
    <w:p>
      <w:pPr>
        <w:pStyle w:val="KeyPoint"/>
      </w:pPr>
      <w:r>
        <w:rPr>
          <w:b/>
        </w:rPr>
        <w:t xml:space="preserve">Key point: </w:t>
      </w:r>
      <w:r>
        <w:t>Yes, if the plane choice was fixed using internal validation only.</w:t>
      </w:r>
    </w:p>
    <w:p>
      <w:pPr>
        <w:pStyle w:val="BodyText"/>
      </w:pPr>
      <w:r>
        <w:t>One valid alternative would be: use internal validation to choose the best plane per task, freeze that choice, and then apply it once to the held out set. The downside is instability with a small internal validation set and loss of information from the other planes.</w:t>
      </w:r>
    </w:p>
    <w:p>
      <w:pPr>
        <w:pStyle w:val="QHeading"/>
      </w:pPr>
      <w:r>
        <w:rPr>
          <w:b/>
        </w:rPr>
        <w:t>Q13. What does the aggregate table mean?</w:t>
      </w:r>
      <w:r>
        <w:rPr>
          <w:b/>
          <w:color w:val="B87C0D"/>
        </w:rPr>
        <w:t xml:space="preserve">  [Core]</w:t>
      </w:r>
    </w:p>
    <w:p>
      <w:pPr>
        <w:pStyle w:val="KeyPoint"/>
      </w:pPr>
      <w:r>
        <w:rPr>
          <w:b/>
        </w:rPr>
        <w:t xml:space="preserve">Key point: </w:t>
      </w:r>
      <w:r>
        <w:t>It pools task level predictions, not patients.</w:t>
      </w:r>
    </w:p>
    <w:p>
      <w:pPr>
        <w:pStyle w:val="BodyText"/>
      </w:pPr>
      <w:r>
        <w:t>N equals 357 because 119 held out exams are evaluated for three binary tasks. This gives 357 task level predictions. It does not mean 357 unique patients.</w:t>
      </w:r>
    </w:p>
    <w:p>
      <w:pPr>
        <w:pStyle w:val="QHeading"/>
      </w:pPr>
      <w:r>
        <w:rPr>
          <w:b/>
        </w:rPr>
        <w:t>Q14. Why use ROC-AUC as the primary metric?</w:t>
      </w:r>
      <w:r>
        <w:rPr>
          <w:b/>
          <w:color w:val="B87C0D"/>
        </w:rPr>
        <w:t xml:space="preserve">  [Core]</w:t>
      </w:r>
    </w:p>
    <w:p>
      <w:pPr>
        <w:pStyle w:val="KeyPoint"/>
      </w:pPr>
      <w:r>
        <w:rPr>
          <w:b/>
        </w:rPr>
        <w:t xml:space="preserve">Key point: </w:t>
      </w:r>
      <w:r>
        <w:t>It measures ranking over thresholds and is comparable with MRNet.</w:t>
      </w:r>
    </w:p>
    <w:p>
      <w:pPr>
        <w:pStyle w:val="BodyText"/>
      </w:pPr>
      <w:r>
        <w:t>ROC-AUC asks whether positives tend to receive higher probabilities than negatives. It is threshold independent and was used in the original MRNet benchmark, which helps comparison. However, it does not directly tell us the clinical operating point.</w:t>
      </w:r>
    </w:p>
    <w:p>
      <w:pPr>
        <w:pStyle w:val="QHeading"/>
      </w:pPr>
      <w:r>
        <w:rPr>
          <w:b/>
        </w:rPr>
        <w:t>Q15. Why also report PR-AUC?</w:t>
      </w:r>
      <w:r>
        <w:rPr>
          <w:b/>
          <w:color w:val="B87C0D"/>
        </w:rPr>
        <w:t xml:space="preserve">  [Core]</w:t>
      </w:r>
    </w:p>
    <w:p>
      <w:pPr>
        <w:pStyle w:val="KeyPoint"/>
      </w:pPr>
      <w:r>
        <w:rPr>
          <w:b/>
        </w:rPr>
        <w:t xml:space="preserve">Key point: </w:t>
      </w:r>
      <w:r>
        <w:t>PR-AUC is more informative when positives are less common.</w:t>
      </w:r>
    </w:p>
    <w:p>
      <w:pPr>
        <w:pStyle w:val="BodyText"/>
      </w:pPr>
      <w:r>
        <w:t>Precision-recall curves focus on positive predictive performance and recall. They are useful when the positive class is less prevalent, as with ACL and meniscal tear labels compared with abnormality.</w:t>
      </w:r>
    </w:p>
    <w:p>
      <w:pPr>
        <w:pStyle w:val="QHeading"/>
      </w:pPr>
      <w:r>
        <w:rPr>
          <w:b/>
        </w:rPr>
        <w:t>Q16. Why report sensitivity and specificity at threshold 0.5?</w:t>
      </w:r>
      <w:r>
        <w:rPr>
          <w:b/>
          <w:color w:val="B87C0D"/>
        </w:rPr>
        <w:t xml:space="preserve">  [Core]</w:t>
      </w:r>
    </w:p>
    <w:p>
      <w:pPr>
        <w:pStyle w:val="KeyPoint"/>
      </w:pPr>
      <w:r>
        <w:rPr>
          <w:b/>
        </w:rPr>
        <w:t xml:space="preserve">Key point: </w:t>
      </w:r>
      <w:r>
        <w:t>They give intuitive clinical metrics, but 0.5 is not necessarily the clinical threshold.</w:t>
      </w:r>
    </w:p>
    <w:p>
      <w:pPr>
        <w:pStyle w:val="BodyText"/>
      </w:pPr>
      <w:r>
        <w:t>The 0.5 threshold is a default reporting point. For clinical deployment, the threshold should be selected on validation data according to the use case, such as high sensitivity for triage or higher specificity for reducing false positives.</w:t>
      </w:r>
    </w:p>
    <w:p>
      <w:pPr>
        <w:pStyle w:val="QHeading"/>
      </w:pPr>
      <w:r>
        <w:rPr>
          <w:b/>
        </w:rPr>
        <w:t>Q17. Which model performed best?</w:t>
      </w:r>
      <w:r>
        <w:rPr>
          <w:b/>
          <w:color w:val="B87C0D"/>
        </w:rPr>
        <w:t xml:space="preserve">  [Core]</w:t>
      </w:r>
    </w:p>
    <w:p>
      <w:pPr>
        <w:pStyle w:val="KeyPoint"/>
      </w:pPr>
      <w:r>
        <w:rPr>
          <w:b/>
        </w:rPr>
        <w:t xml:space="preserve">Key point: </w:t>
      </w:r>
      <w:r>
        <w:t>Baseline ResNet18 best aggregate; SwinViT best abnormality.</w:t>
      </w:r>
    </w:p>
    <w:p>
      <w:pPr>
        <w:pStyle w:val="BodyText"/>
      </w:pPr>
      <w:r>
        <w:t>Under equal fusion, baseline ResNet18 achieved aggregate ROC-AUC 0.898 and PR-AUC 0.910. SwinViT had the strongest abnormality ROC-AUC at 0.928. Enhanced ResNet18 had the highest specificity but weaker overall discrimination.</w:t>
      </w:r>
    </w:p>
    <w:p>
      <w:pPr>
        <w:pStyle w:val="QHeading"/>
      </w:pPr>
      <w:r>
        <w:rPr>
          <w:b/>
        </w:rPr>
        <w:t>Q18. Why might the simpler baseline outperform the enhanced models?</w:t>
      </w:r>
      <w:r>
        <w:rPr>
          <w:b/>
          <w:color w:val="B87C0D"/>
        </w:rPr>
        <w:t xml:space="preserve">  [High intermediate]</w:t>
      </w:r>
    </w:p>
    <w:p>
      <w:pPr>
        <w:pStyle w:val="KeyPoint"/>
      </w:pPr>
      <w:r>
        <w:rPr>
          <w:b/>
        </w:rPr>
        <w:t xml:space="preserve">Key point: </w:t>
      </w:r>
      <w:r>
        <w:t>Small data, coarse labels and useful CNN inductive bias.</w:t>
      </w:r>
    </w:p>
    <w:p>
      <w:pPr>
        <w:pStyle w:val="BodyText"/>
      </w:pPr>
      <w:r>
        <w:t>More complex models need more data and stronger regularisation. With exam level labels and a small held out set, the added flexibility of attention or transformer features may overfit. Also, max pooling may be surprisingly well matched to sparse pathology where a few slices carry the signal.</w:t>
      </w:r>
    </w:p>
    <w:p>
      <w:pPr>
        <w:pStyle w:val="QHeading"/>
      </w:pPr>
      <w:r>
        <w:rPr>
          <w:b/>
        </w:rPr>
        <w:t>Q19. Does the result mean transformers are worse for MRI?</w:t>
      </w:r>
      <w:r>
        <w:rPr>
          <w:b/>
          <w:color w:val="B87C0D"/>
        </w:rPr>
        <w:t xml:space="preserve">  [High intermediate]</w:t>
      </w:r>
    </w:p>
    <w:p>
      <w:pPr>
        <w:pStyle w:val="KeyPoint"/>
      </w:pPr>
      <w:r>
        <w:rPr>
          <w:b/>
        </w:rPr>
        <w:t xml:space="preserve">Key point: </w:t>
      </w:r>
      <w:r>
        <w:t>No. It only means this Swin setup did not beat the baseline overall in this protocol.</w:t>
      </w:r>
    </w:p>
    <w:p>
      <w:pPr>
        <w:pStyle w:val="BodyText"/>
      </w:pPr>
      <w:r>
        <w:t>This was one implementation on one dataset with equal fusion and exam level labels. Swin was strongest for abnormality, so the result is nuanced. The right conclusion is that architecture choice must be validated task by task, not that CNNs are universally better.</w:t>
      </w:r>
    </w:p>
    <w:p>
      <w:pPr>
        <w:pStyle w:val="QHeading"/>
      </w:pPr>
      <w:r>
        <w:rPr>
          <w:b/>
        </w:rPr>
        <w:t>Q20. Why was meniscal tear the hardest task?</w:t>
      </w:r>
      <w:r>
        <w:rPr>
          <w:b/>
          <w:color w:val="B87C0D"/>
        </w:rPr>
        <w:t xml:space="preserve">  [Intermediate]</w:t>
      </w:r>
    </w:p>
    <w:p>
      <w:pPr>
        <w:pStyle w:val="KeyPoint"/>
      </w:pPr>
      <w:r>
        <w:rPr>
          <w:b/>
        </w:rPr>
        <w:t xml:space="preserve">Key point: </w:t>
      </w:r>
      <w:r>
        <w:t>The visual phenotype is subtler and more heterogeneous.</w:t>
      </w:r>
    </w:p>
    <w:p>
      <w:pPr>
        <w:pStyle w:val="BodyText"/>
      </w:pPr>
      <w:r>
        <w:t>Meniscal tears vary by horn, body, tear type and plane visibility. Exam level binary labels do not tell the model where the tear is. That makes meniscal classification harder than broad abnormality and sometimes harder than ACL tear.</w:t>
      </w:r>
    </w:p>
    <w:p>
      <w:pPr>
        <w:pStyle w:val="QHeading"/>
      </w:pPr>
      <w:r>
        <w:rPr>
          <w:b/>
        </w:rPr>
        <w:t>Q21. How did Grad-CAM work in the project?</w:t>
      </w:r>
      <w:r>
        <w:rPr>
          <w:b/>
          <w:color w:val="B87C0D"/>
        </w:rPr>
        <w:t xml:space="preserve">  [Core]</w:t>
      </w:r>
    </w:p>
    <w:p>
      <w:pPr>
        <w:pStyle w:val="KeyPoint"/>
      </w:pPr>
      <w:r>
        <w:rPr>
          <w:b/>
        </w:rPr>
        <w:t xml:space="preserve">Key point: </w:t>
      </w:r>
      <w:r>
        <w:t>It generated class specific heatmaps for representative ACL sagittal cases.</w:t>
      </w:r>
    </w:p>
    <w:p>
      <w:pPr>
        <w:pStyle w:val="BodyText"/>
      </w:pPr>
      <w:r>
        <w:t>A trained model checkpoint was loaded. Cases were selected by outcome type such as TP, FP, FN and TN. Grad-CAM heatmaps were generated from a target convolutional layer and overlaid on MRI slices.</w:t>
      </w:r>
    </w:p>
    <w:p>
      <w:pPr>
        <w:pStyle w:val="QHeading"/>
      </w:pPr>
      <w:r>
        <w:rPr>
          <w:b/>
        </w:rPr>
        <w:t>Q22. Why was Grad-CAM slice selection changed?</w:t>
      </w:r>
      <w:r>
        <w:rPr>
          <w:b/>
          <w:color w:val="B87C0D"/>
        </w:rPr>
        <w:t xml:space="preserve">  [Intermediate]</w:t>
      </w:r>
    </w:p>
    <w:p>
      <w:pPr>
        <w:pStyle w:val="KeyPoint"/>
      </w:pPr>
      <w:r>
        <w:rPr>
          <w:b/>
        </w:rPr>
        <w:t xml:space="preserve">Key point: </w:t>
      </w:r>
      <w:r>
        <w:t>Repeated slice 0 selection looked suspicious.</w:t>
      </w:r>
    </w:p>
    <w:p>
      <w:pPr>
        <w:pStyle w:val="BodyText"/>
      </w:pPr>
      <w:r>
        <w:t>Early outputs selected edge slices too often, which raised concern about artefact driven selection. The revised selector ranked slices using the mean of the top 1% of Grad-CAM pixels and excluded edge slices where possible.</w:t>
      </w:r>
    </w:p>
    <w:p>
      <w:pPr>
        <w:pStyle w:val="QHeading"/>
      </w:pPr>
      <w:r>
        <w:rPr>
          <w:b/>
        </w:rPr>
        <w:t>Q23. What is the danger of overinterpreting Grad-CAM?</w:t>
      </w:r>
      <w:r>
        <w:rPr>
          <w:b/>
          <w:color w:val="B87C0D"/>
        </w:rPr>
        <w:t xml:space="preserve">  [High intermediate]</w:t>
      </w:r>
    </w:p>
    <w:p>
      <w:pPr>
        <w:pStyle w:val="KeyPoint"/>
      </w:pPr>
      <w:r>
        <w:rPr>
          <w:b/>
        </w:rPr>
        <w:t xml:space="preserve">Key point: </w:t>
      </w:r>
      <w:r>
        <w:t>A heatmap is not a causal explanation.</w:t>
      </w:r>
    </w:p>
    <w:p>
      <w:pPr>
        <w:pStyle w:val="BodyText"/>
      </w:pPr>
      <w:r>
        <w:t>Grad-CAM shows regions associated with class evidence under the chosen model and layer. It can be visually plausible while still being misleading. It should be used for error analysis and hypothesis generation, not as proof of radiologist-like reasoning.</w:t>
      </w:r>
    </w:p>
    <w:p>
      <w:pPr>
        <w:pStyle w:val="QHeading"/>
      </w:pPr>
      <w:r>
        <w:rPr>
          <w:b/>
        </w:rPr>
        <w:t>Q24. Why is Grad-CAM for a true negative not a normal anatomy map?</w:t>
      </w:r>
      <w:r>
        <w:rPr>
          <w:b/>
          <w:color w:val="B87C0D"/>
        </w:rPr>
        <w:t xml:space="preserve">  [High intermediate]</w:t>
      </w:r>
    </w:p>
    <w:p>
      <w:pPr>
        <w:pStyle w:val="KeyPoint"/>
      </w:pPr>
      <w:r>
        <w:rPr>
          <w:b/>
        </w:rPr>
        <w:t xml:space="preserve">Key point: </w:t>
      </w:r>
      <w:r>
        <w:t>Because it is positive class attribution.</w:t>
      </w:r>
    </w:p>
    <w:p>
      <w:pPr>
        <w:pStyle w:val="BodyText"/>
      </w:pPr>
      <w:r>
        <w:t>If the target class is ACL tear, the map shows evidence that would push the model towards ACL tear. In a true negative, low or peripheral activation does not prove that the model has understood normal anatomy. It only indicates weak positive class evidence.</w:t>
      </w:r>
    </w:p>
    <w:p>
      <w:pPr>
        <w:pStyle w:val="QHeading"/>
      </w:pPr>
      <w:r>
        <w:rPr>
          <w:b/>
        </w:rPr>
        <w:t>Q25. Why use binary cross entropy with class weighting?</w:t>
      </w:r>
      <w:r>
        <w:rPr>
          <w:b/>
          <w:color w:val="B87C0D"/>
        </w:rPr>
        <w:t xml:space="preserve">  [Intermediate]</w:t>
      </w:r>
    </w:p>
    <w:p>
      <w:pPr>
        <w:pStyle w:val="KeyPoint"/>
      </w:pPr>
      <w:r>
        <w:rPr>
          <w:b/>
        </w:rPr>
        <w:t xml:space="preserve">Key point: </w:t>
      </w:r>
      <w:r>
        <w:t>It matches independent binary tasks and addresses class imbalance.</w:t>
      </w:r>
    </w:p>
    <w:p>
      <w:pPr>
        <w:pStyle w:val="BodyText"/>
      </w:pPr>
      <w:r>
        <w:t>Binary cross entropy is appropriate for each yes/no task. Class weighting increases the loss contribution of positive cases when they are less frequent, reducing the incentive to predict the majority class.</w:t>
      </w:r>
    </w:p>
    <w:p>
      <w:pPr>
        <w:pStyle w:val="QHeading"/>
      </w:pPr>
      <w:r>
        <w:rPr>
          <w:b/>
        </w:rPr>
        <w:t>Q26. Could class weighting harm calibration?</w:t>
      </w:r>
      <w:r>
        <w:rPr>
          <w:b/>
          <w:color w:val="B87C0D"/>
        </w:rPr>
        <w:t xml:space="preserve">  [Advanced]</w:t>
      </w:r>
    </w:p>
    <w:p>
      <w:pPr>
        <w:pStyle w:val="KeyPoint"/>
      </w:pPr>
      <w:r>
        <w:rPr>
          <w:b/>
        </w:rPr>
        <w:t xml:space="preserve">Key point: </w:t>
      </w:r>
      <w:r>
        <w:t>Yes, it can alter predicted probability scale.</w:t>
      </w:r>
    </w:p>
    <w:p>
      <w:pPr>
        <w:pStyle w:val="BodyText"/>
      </w:pPr>
      <w:r>
        <w:t>Class weighting improves discrimination or sensitivity but can distort the raw probability estimates. That is one reason calibration analysis is needed before clinical use. A model can have good AUC but poorly calibrated probabilities.</w:t>
      </w:r>
    </w:p>
    <w:p>
      <w:pPr>
        <w:pStyle w:val="QHeading"/>
      </w:pPr>
      <w:r>
        <w:rPr>
          <w:b/>
        </w:rPr>
        <w:t>Q27. What calibration methods would be appropriate?</w:t>
      </w:r>
      <w:r>
        <w:rPr>
          <w:b/>
          <w:color w:val="B87C0D"/>
        </w:rPr>
        <w:t xml:space="preserve">  [Advanced]</w:t>
      </w:r>
    </w:p>
    <w:p>
      <w:pPr>
        <w:pStyle w:val="KeyPoint"/>
      </w:pPr>
      <w:r>
        <w:rPr>
          <w:b/>
        </w:rPr>
        <w:t xml:space="preserve">Key point: </w:t>
      </w:r>
      <w:r>
        <w:t>Platt scaling, temperature scaling or isotonic regression, validated on separate data.</w:t>
      </w:r>
    </w:p>
    <w:p>
      <w:pPr>
        <w:pStyle w:val="BodyText"/>
      </w:pPr>
      <w:r>
        <w:t>Calibration should be learned on internal validation data and tested on held out or external data. For small samples, isotonic regression may overfit, while Platt or temperature scaling may be more stable. Report calibration curves and Brier score, not just AUC.</w:t>
      </w:r>
    </w:p>
    <w:p>
      <w:pPr>
        <w:pStyle w:val="QHeading"/>
      </w:pPr>
      <w:r>
        <w:rPr>
          <w:b/>
        </w:rPr>
        <w:t>Q28. What confidence intervals should be reported?</w:t>
      </w:r>
      <w:r>
        <w:rPr>
          <w:b/>
          <w:color w:val="B87C0D"/>
        </w:rPr>
        <w:t xml:space="preserve">  [High intermediate]</w:t>
      </w:r>
    </w:p>
    <w:p>
      <w:pPr>
        <w:pStyle w:val="KeyPoint"/>
      </w:pPr>
      <w:r>
        <w:rPr>
          <w:b/>
        </w:rPr>
        <w:t xml:space="preserve">Key point: </w:t>
      </w:r>
      <w:r>
        <w:t>Bootstrap CIs for AUC and threshold metrics would strengthen inference.</w:t>
      </w:r>
    </w:p>
    <w:p>
      <w:pPr>
        <w:pStyle w:val="BodyText"/>
      </w:pPr>
      <w:r>
        <w:t>The held out set is small, so point estimates can be noisy. Bootstrapping at the exam level could quantify uncertainty around ROC-AUC, PR-AUC, sensitivity and specificity. For paired model comparisons, preserve pairing by resampling exams, not individual task predictions independently.</w:t>
      </w:r>
    </w:p>
    <w:p>
      <w:pPr>
        <w:pStyle w:val="QHeading"/>
      </w:pPr>
      <w:r>
        <w:rPr>
          <w:b/>
        </w:rPr>
        <w:t>Q29. What does DeLong’s test add?</w:t>
      </w:r>
      <w:r>
        <w:rPr>
          <w:b/>
          <w:color w:val="B87C0D"/>
        </w:rPr>
        <w:t xml:space="preserve">  [Intermediate]</w:t>
      </w:r>
    </w:p>
    <w:p>
      <w:pPr>
        <w:pStyle w:val="KeyPoint"/>
      </w:pPr>
      <w:r>
        <w:rPr>
          <w:b/>
        </w:rPr>
        <w:t xml:space="preserve">Key point: </w:t>
      </w:r>
      <w:r>
        <w:t>It compares correlated ROC-AUCs from models evaluated on the same cases.</w:t>
      </w:r>
    </w:p>
    <w:p>
      <w:pPr>
        <w:pStyle w:val="BodyText"/>
      </w:pPr>
      <w:r>
        <w:t>Because models are tested on the same examples, their AUC estimates are correlated. DeLong’s test accounts for that pairing. Multiple comparisons require adjustment, such as Bonferroni, though that may be conservative.</w:t>
      </w:r>
    </w:p>
    <w:p>
      <w:pPr>
        <w:pStyle w:val="QHeading"/>
      </w:pPr>
      <w:r>
        <w:rPr>
          <w:b/>
        </w:rPr>
        <w:t>Q30. What is the limitation of pooling all tasks for aggregate AUC?</w:t>
      </w:r>
      <w:r>
        <w:rPr>
          <w:b/>
          <w:color w:val="B87C0D"/>
        </w:rPr>
        <w:t xml:space="preserve">  [Advanced]</w:t>
      </w:r>
    </w:p>
    <w:p>
      <w:pPr>
        <w:pStyle w:val="KeyPoint"/>
      </w:pPr>
      <w:r>
        <w:rPr>
          <w:b/>
        </w:rPr>
        <w:t xml:space="preserve">Key point: </w:t>
      </w:r>
      <w:r>
        <w:t>It mixes clinically different tasks and correlated observations.</w:t>
      </w:r>
    </w:p>
    <w:p>
      <w:pPr>
        <w:pStyle w:val="BodyText"/>
      </w:pPr>
      <w:r>
        <w:t>Aggregate metrics are helpful for a summary but can hide task specific behaviour. The same exam contributes multiple labels, so task level predictions are not fully independent. A complete analysis should report both aggregate and per-task results.</w:t>
      </w:r>
    </w:p>
    <w:p>
      <w:pPr>
        <w:pStyle w:val="QHeading"/>
      </w:pPr>
      <w:r>
        <w:rPr>
          <w:b/>
        </w:rPr>
        <w:t>Q31. Should the model use report text or images only?</w:t>
      </w:r>
      <w:r>
        <w:rPr>
          <w:b/>
          <w:color w:val="B87C0D"/>
        </w:rPr>
        <w:t xml:space="preserve">  [Advanced]</w:t>
      </w:r>
    </w:p>
    <w:p>
      <w:pPr>
        <w:pStyle w:val="KeyPoint"/>
      </w:pPr>
      <w:r>
        <w:rPr>
          <w:b/>
        </w:rPr>
        <w:t xml:space="preserve">Key point: </w:t>
      </w:r>
      <w:r>
        <w:t>Report text could enrich labels but must be separated from image inference.</w:t>
      </w:r>
    </w:p>
    <w:p>
      <w:pPr>
        <w:pStyle w:val="BodyText"/>
      </w:pPr>
      <w:r>
        <w:t>For training labels, NLP from reports can scale annotation but may import report bias and ambiguity. For deployment, using report text would not make sense if the goal is to assist reporting before the report exists. Report text is best used to create or audit labels, not as an input to an image triage model.</w:t>
      </w:r>
    </w:p>
    <w:p>
      <w:pPr>
        <w:pStyle w:val="QHeading"/>
      </w:pPr>
      <w:r>
        <w:rPr>
          <w:b/>
        </w:rPr>
        <w:t>Q32. Could the model be learning shortcuts?</w:t>
      </w:r>
      <w:r>
        <w:rPr>
          <w:b/>
          <w:color w:val="B87C0D"/>
        </w:rPr>
        <w:t xml:space="preserve">  [Advanced]</w:t>
      </w:r>
    </w:p>
    <w:p>
      <w:pPr>
        <w:pStyle w:val="KeyPoint"/>
      </w:pPr>
      <w:r>
        <w:rPr>
          <w:b/>
        </w:rPr>
        <w:t xml:space="preserve">Key point: </w:t>
      </w:r>
      <w:r>
        <w:t>Yes, especially with single centre data and exam level labels.</w:t>
      </w:r>
    </w:p>
    <w:p>
      <w:pPr>
        <w:pStyle w:val="BodyText"/>
      </w:pPr>
      <w:r>
        <w:t>Potential shortcuts include scanner protocol, acquisition artefacts, image orientation, edge slices, or correlates of abnormality rather than pathology itself. External validation, ablation tests, occlusion checks and structured error review are needed to detect this.</w:t>
      </w:r>
    </w:p>
    <w:p>
      <w:pPr>
        <w:pStyle w:val="QHeading"/>
      </w:pPr>
      <w:r>
        <w:rPr>
          <w:b/>
        </w:rPr>
        <w:t>Q33. What would be a stronger fusion strategy?</w:t>
      </w:r>
      <w:r>
        <w:rPr>
          <w:b/>
          <w:color w:val="B87C0D"/>
        </w:rPr>
        <w:t xml:space="preserve">  [High intermediate]</w:t>
      </w:r>
    </w:p>
    <w:p>
      <w:pPr>
        <w:pStyle w:val="KeyPoint"/>
      </w:pPr>
      <w:r>
        <w:rPr>
          <w:b/>
        </w:rPr>
        <w:t xml:space="preserve">Key point: </w:t>
      </w:r>
      <w:r>
        <w:t>Learn fusion on internal validation only, or build a hierarchical model.</w:t>
      </w:r>
    </w:p>
    <w:p>
      <w:pPr>
        <w:pStyle w:val="BodyText"/>
      </w:pPr>
      <w:r>
        <w:t>Options include logistic regression, calibrated weighted averaging, stacking or a learned multi-plane fusion network. The key rule is that fusion parameters must be learned without using held out test labels. A more advanced approach would learn uncertainty aware fusion by task.</w:t>
      </w:r>
    </w:p>
    <w:p>
      <w:pPr>
        <w:pStyle w:val="QHeading"/>
      </w:pPr>
      <w:r>
        <w:rPr>
          <w:b/>
        </w:rPr>
        <w:t>Q34. What is the best next architecture experiment?</w:t>
      </w:r>
      <w:r>
        <w:rPr>
          <w:b/>
          <w:color w:val="B87C0D"/>
        </w:rPr>
        <w:t xml:space="preserve">  [Advanced]</w:t>
      </w:r>
    </w:p>
    <w:p>
      <w:pPr>
        <w:pStyle w:val="KeyPoint"/>
      </w:pPr>
      <w:r>
        <w:rPr>
          <w:b/>
        </w:rPr>
        <w:t xml:space="preserve">Key point: </w:t>
      </w:r>
      <w:r>
        <w:t>A disciplined comparison of MIL pooling, 2.5D/3D context and calibrated fusion.</w:t>
      </w:r>
    </w:p>
    <w:p>
      <w:pPr>
        <w:pStyle w:val="BodyText"/>
      </w:pPr>
      <w:r>
        <w:t>I would compare max pooling, mean pooling, log-sum-exp pooling, attention pooling and transformer pooling under the same protocol. Then test true 3D or hybrid 2D/3D models, with nested validation, calibration and external testing.</w:t>
      </w:r>
    </w:p>
    <w:p>
      <w:pPr>
        <w:pStyle w:val="QHeading"/>
      </w:pPr>
      <w:r>
        <w:rPr>
          <w:b/>
        </w:rPr>
        <w:t>Q35. Why did WGAN-GP not become central to the final result?</w:t>
      </w:r>
      <w:r>
        <w:rPr>
          <w:b/>
          <w:color w:val="B87C0D"/>
        </w:rPr>
        <w:t xml:space="preserve">  [High intermediate]</w:t>
      </w:r>
    </w:p>
    <w:p>
      <w:pPr>
        <w:pStyle w:val="KeyPoint"/>
      </w:pPr>
      <w:r>
        <w:rPr>
          <w:b/>
        </w:rPr>
        <w:t xml:space="preserve">Key point: </w:t>
      </w:r>
      <w:r>
        <w:t>Synthetic image generation is hard to validate and may not add clinically useful variation.</w:t>
      </w:r>
    </w:p>
    <w:p>
      <w:pPr>
        <w:pStyle w:val="BodyText"/>
      </w:pPr>
      <w:r>
        <w:t>The WGAN-GP experiment was exploratory. A higher fool rate does not prove clinical realism or improved generalisation. Synthetic data can introduce artefacts or teach the classifier unrealistic features, so it should be treated cautiously unless it improves independent validation.</w:t>
      </w:r>
    </w:p>
    <w:p>
      <w:pPr>
        <w:pStyle w:val="QHeading"/>
      </w:pPr>
      <w:r>
        <w:rPr>
          <w:b/>
        </w:rPr>
        <w:t>Q36. Is DINOv3 a fair comparison to Swin?</w:t>
      </w:r>
      <w:r>
        <w:rPr>
          <w:b/>
          <w:color w:val="B87C0D"/>
        </w:rPr>
        <w:t xml:space="preserve">  [High intermediate]</w:t>
      </w:r>
    </w:p>
    <w:p>
      <w:pPr>
        <w:pStyle w:val="KeyPoint"/>
      </w:pPr>
      <w:r>
        <w:rPr>
          <w:b/>
        </w:rPr>
        <w:t xml:space="preserve">Key point: </w:t>
      </w:r>
      <w:r>
        <w:t>Only as an exploratory self-supervised feature approach, not as a fully tuned medical imaging model.</w:t>
      </w:r>
    </w:p>
    <w:p>
      <w:pPr>
        <w:pStyle w:val="BodyText"/>
      </w:pPr>
      <w:r>
        <w:t>DINOv3 features are learned mainly from natural images unless adapted. If performance was weak, that may reflect domain mismatch, insufficient fine tuning, or an implementation choice rather than a general limitation of self-supervised learning.</w:t>
      </w:r>
    </w:p>
    <w:p>
      <w:pPr>
        <w:pStyle w:val="QHeading"/>
      </w:pPr>
      <w:r>
        <w:rPr>
          <w:b/>
        </w:rPr>
        <w:t>Q37. What would make the technical evaluation clinically stronger?</w:t>
      </w:r>
      <w:r>
        <w:rPr>
          <w:b/>
          <w:color w:val="B87C0D"/>
        </w:rPr>
        <w:t xml:space="preserve">  [Advanced]</w:t>
      </w:r>
    </w:p>
    <w:p>
      <w:pPr>
        <w:pStyle w:val="KeyPoint"/>
      </w:pPr>
      <w:r>
        <w:rPr>
          <w:b/>
        </w:rPr>
        <w:t xml:space="preserve">Key point: </w:t>
      </w:r>
      <w:r>
        <w:t>External validation, calibration, thresholds matched to workflow and subgroup analyses.</w:t>
      </w:r>
    </w:p>
    <w:p>
      <w:pPr>
        <w:pStyle w:val="BodyText"/>
      </w:pPr>
      <w:r>
        <w:t>A clinically stronger evaluation would include an external hospital dataset, confidence intervals, calibration curves, subgroup performance by sex/age/scanner/protocol, prospective workflow simulation and decision analysis showing how the model changes workload or patient outcomes.</w:t>
      </w:r>
    </w:p>
    <w:p>
      <w:r>
        <w:br w:type="page"/>
      </w:r>
    </w:p>
    <w:p>
      <w:pPr>
        <w:pStyle w:val="Heading1"/>
      </w:pPr>
      <w:r>
        <w:t>3. Other FAQ: Clinical, Data, Architecture Strategy and Hard Viva Questions</w:t>
      </w:r>
    </w:p>
    <w:p>
      <w:pPr>
        <w:pStyle w:val="BodyText"/>
      </w:pPr>
      <w:r>
        <w:t>This section covers the questions most likely to test judgement rather than code recall. The strongest answers are clinically cautious, data aware and honest about what the project can and cannot show.</w:t>
      </w:r>
    </w:p>
    <w:p>
      <w:pPr>
        <w:pStyle w:val="QHeading"/>
      </w:pPr>
      <w:r>
        <w:rPr>
          <w:b/>
        </w:rPr>
        <w:t>Q1. What is the clinical problem?</w:t>
      </w:r>
      <w:r>
        <w:rPr>
          <w:b/>
          <w:color w:val="B87C0D"/>
        </w:rPr>
        <w:t xml:space="preserve">  [Core]</w:t>
      </w:r>
    </w:p>
    <w:p>
      <w:pPr>
        <w:pStyle w:val="KeyPoint"/>
      </w:pPr>
      <w:r>
        <w:rPr>
          <w:b/>
        </w:rPr>
        <w:t xml:space="preserve">Key point: </w:t>
      </w:r>
      <w:r>
        <w:t>Knee MRI interpretation is high workload and variable; the model is potential triage support.</w:t>
      </w:r>
    </w:p>
    <w:p>
      <w:pPr>
        <w:pStyle w:val="BodyText"/>
      </w:pPr>
      <w:r>
        <w:t>Knee MRI requires review across multiple planes and many slices. ACL and meniscal tears are common and clinically important. The project tests whether deep learning could support triage or decision support, not replace a radiologist.</w:t>
      </w:r>
    </w:p>
    <w:p>
      <w:pPr>
        <w:pStyle w:val="QHeading"/>
      </w:pPr>
      <w:r>
        <w:rPr>
          <w:b/>
        </w:rPr>
        <w:t>Q2. What is the most clinically honest conclusion?</w:t>
      </w:r>
      <w:r>
        <w:rPr>
          <w:b/>
          <w:color w:val="B87C0D"/>
        </w:rPr>
        <w:t xml:space="preserve">  [Core]</w:t>
      </w:r>
    </w:p>
    <w:p>
      <w:pPr>
        <w:pStyle w:val="KeyPoint"/>
      </w:pPr>
      <w:r>
        <w:rPr>
          <w:b/>
        </w:rPr>
        <w:t xml:space="preserve">Key point: </w:t>
      </w:r>
      <w:r>
        <w:t>Feasibility is supported, but clinical deployment is not.</w:t>
      </w:r>
    </w:p>
    <w:p>
      <w:pPr>
        <w:pStyle w:val="BodyText"/>
      </w:pPr>
      <w:r>
        <w:t>The results show that deep learning can classify MRNet tasks with promising discrimination. But the system is not externally validated, calibrated, prospectively tested or integrated into clinical workflow.</w:t>
      </w:r>
    </w:p>
    <w:p>
      <w:pPr>
        <w:pStyle w:val="QHeading"/>
      </w:pPr>
      <w:r>
        <w:rPr>
          <w:b/>
        </w:rPr>
        <w:t>Q3. What would be the first clinical use case?</w:t>
      </w:r>
      <w:r>
        <w:rPr>
          <w:b/>
          <w:color w:val="B87C0D"/>
        </w:rPr>
        <w:t xml:space="preserve">  [Core]</w:t>
      </w:r>
    </w:p>
    <w:p>
      <w:pPr>
        <w:pStyle w:val="KeyPoint"/>
      </w:pPr>
      <w:r>
        <w:rPr>
          <w:b/>
        </w:rPr>
        <w:t xml:space="preserve">Key point: </w:t>
      </w:r>
      <w:r>
        <w:t>Worklist prioritisation or second reader support.</w:t>
      </w:r>
    </w:p>
    <w:p>
      <w:pPr>
        <w:pStyle w:val="BodyText"/>
      </w:pPr>
      <w:r>
        <w:t>The safest early role would be flagging likely positive cases for radiologist review. It should not generate autonomous reports or treatment decisions.</w:t>
      </w:r>
    </w:p>
    <w:p>
      <w:pPr>
        <w:pStyle w:val="QHeading"/>
      </w:pPr>
      <w:r>
        <w:rPr>
          <w:b/>
        </w:rPr>
        <w:t>Q4. Why is high sensitivity important?</w:t>
      </w:r>
      <w:r>
        <w:rPr>
          <w:b/>
          <w:color w:val="B87C0D"/>
        </w:rPr>
        <w:t xml:space="preserve">  [Core]</w:t>
      </w:r>
    </w:p>
    <w:p>
      <w:pPr>
        <w:pStyle w:val="KeyPoint"/>
      </w:pPr>
      <w:r>
        <w:rPr>
          <w:b/>
        </w:rPr>
        <w:t xml:space="preserve">Key point: </w:t>
      </w:r>
      <w:r>
        <w:t>False negatives can delay diagnosis.</w:t>
      </w:r>
    </w:p>
    <w:p>
      <w:pPr>
        <w:pStyle w:val="BodyText"/>
      </w:pPr>
      <w:r>
        <w:t>In triage, missing a tear may delay specialist review or treatment. But sensitivity cannot be maximised without considering false positives, workload and calibration. The operating point should match the clinical workflow.</w:t>
      </w:r>
    </w:p>
    <w:p>
      <w:pPr>
        <w:pStyle w:val="QHeading"/>
      </w:pPr>
      <w:r>
        <w:rPr>
          <w:b/>
        </w:rPr>
        <w:t>Q5. What harm could the model cause?</w:t>
      </w:r>
      <w:r>
        <w:rPr>
          <w:b/>
          <w:color w:val="B87C0D"/>
        </w:rPr>
        <w:t xml:space="preserve">  [Intermediate]</w:t>
      </w:r>
    </w:p>
    <w:p>
      <w:pPr>
        <w:pStyle w:val="KeyPoint"/>
      </w:pPr>
      <w:r>
        <w:rPr>
          <w:b/>
        </w:rPr>
        <w:t xml:space="preserve">Key point: </w:t>
      </w:r>
      <w:r>
        <w:t>False reassurance, unnecessary escalation and overtrust.</w:t>
      </w:r>
    </w:p>
    <w:p>
      <w:pPr>
        <w:pStyle w:val="BodyText"/>
      </w:pPr>
      <w:r>
        <w:t>A false negative could delay diagnosis. A false positive could increase anxiety or workload. A plausible heatmap could also create overtrust if the model is using non-specific features.</w:t>
      </w:r>
    </w:p>
    <w:p>
      <w:pPr>
        <w:pStyle w:val="QHeading"/>
      </w:pPr>
      <w:r>
        <w:rPr>
          <w:b/>
        </w:rPr>
        <w:t>Q6. What would make it clinically validated?</w:t>
      </w:r>
      <w:r>
        <w:rPr>
          <w:b/>
          <w:color w:val="B87C0D"/>
        </w:rPr>
        <w:t xml:space="preserve">  [Intermediate]</w:t>
      </w:r>
    </w:p>
    <w:p>
      <w:pPr>
        <w:pStyle w:val="KeyPoint"/>
      </w:pPr>
      <w:r>
        <w:rPr>
          <w:b/>
        </w:rPr>
        <w:t xml:space="preserve">Key point: </w:t>
      </w:r>
      <w:r>
        <w:t>External multi-centre validation plus prospective workflow evidence.</w:t>
      </w:r>
    </w:p>
    <w:p>
      <w:pPr>
        <w:pStyle w:val="BodyText"/>
      </w:pPr>
      <w:r>
        <w:t>At minimum: external validation across sites, scanners and protocols; calibration; subgroup analysis; radiologist comparison; prospective workflow testing; and evidence that the system improves patient care or radiology efficiency.</w:t>
      </w:r>
    </w:p>
    <w:p>
      <w:pPr>
        <w:pStyle w:val="QHeading"/>
      </w:pPr>
      <w:r>
        <w:rPr>
          <w:b/>
        </w:rPr>
        <w:t>Q7. What does “no localisation” mean in MRNet?</w:t>
      </w:r>
      <w:r>
        <w:rPr>
          <w:b/>
          <w:color w:val="B87C0D"/>
        </w:rPr>
        <w:t xml:space="preserve">  [Core]</w:t>
      </w:r>
    </w:p>
    <w:p>
      <w:pPr>
        <w:pStyle w:val="KeyPoint"/>
      </w:pPr>
      <w:r>
        <w:rPr>
          <w:b/>
        </w:rPr>
        <w:t xml:space="preserve">Key point: </w:t>
      </w:r>
      <w:r>
        <w:t>The label says whether, not where.</w:t>
      </w:r>
    </w:p>
    <w:p>
      <w:pPr>
        <w:pStyle w:val="BodyText"/>
      </w:pPr>
      <w:r>
        <w:t>MRNet has exam level yes/no labels. It does not provide slice level labels, boxes, masks, coordinates or anatomical structure labels showing where the tear is. The model can predict ACL tear likely without being directly supervised to find the ACL tear.</w:t>
      </w:r>
    </w:p>
    <w:p>
      <w:pPr>
        <w:pStyle w:val="QHeading"/>
      </w:pPr>
      <w:r>
        <w:rPr>
          <w:b/>
        </w:rPr>
        <w:t>Q8. Why does localisation matter clinically?</w:t>
      </w:r>
      <w:r>
        <w:rPr>
          <w:b/>
          <w:color w:val="B87C0D"/>
        </w:rPr>
        <w:t xml:space="preserve">  [Intermediate]</w:t>
      </w:r>
    </w:p>
    <w:p>
      <w:pPr>
        <w:pStyle w:val="KeyPoint"/>
      </w:pPr>
      <w:r>
        <w:rPr>
          <w:b/>
        </w:rPr>
        <w:t xml:space="preserve">Key point: </w:t>
      </w:r>
      <w:r>
        <w:t>Clinical diagnosis requires location, severity and management relevance.</w:t>
      </w:r>
    </w:p>
    <w:p>
      <w:pPr>
        <w:pStyle w:val="BodyText"/>
      </w:pPr>
      <w:r>
        <w:t>For meniscus, medial versus lateral and horn/body location matter. For ACL, partial versus complete tear matters. Localisation also lets us test whether the model looked at the relevant anatomy rather than spurious cues.</w:t>
      </w:r>
    </w:p>
    <w:p>
      <w:pPr>
        <w:pStyle w:val="QHeading"/>
      </w:pPr>
      <w:r>
        <w:rPr>
          <w:b/>
        </w:rPr>
        <w:t>Q9. Why is “learning ready clinical data” the real bottleneck?</w:t>
      </w:r>
      <w:r>
        <w:rPr>
          <w:b/>
          <w:color w:val="B87C0D"/>
        </w:rPr>
        <w:t xml:space="preserve">  [Core]</w:t>
      </w:r>
    </w:p>
    <w:p>
      <w:pPr>
        <w:pStyle w:val="KeyPoint"/>
      </w:pPr>
      <w:r>
        <w:rPr>
          <w:b/>
        </w:rPr>
        <w:t xml:space="preserve">Key point: </w:t>
      </w:r>
      <w:r>
        <w:t>Hospitals have images, but not clean linked labels and outcomes.</w:t>
      </w:r>
    </w:p>
    <w:p>
      <w:pPr>
        <w:pStyle w:val="BodyText"/>
      </w:pPr>
      <w:r>
        <w:t>Routine MRI is high volume, but usually not organised as a training resource with structured labels, localisation, operative confirmation, outcomes, provenance and governance. More images alone are not enough.</w:t>
      </w:r>
    </w:p>
    <w:p>
      <w:pPr>
        <w:pStyle w:val="QHeading"/>
      </w:pPr>
      <w:r>
        <w:rPr>
          <w:b/>
        </w:rPr>
        <w:t>Q10. What is wrong with using public benchmark data only?</w:t>
      </w:r>
      <w:r>
        <w:rPr>
          <w:b/>
          <w:color w:val="B87C0D"/>
        </w:rPr>
        <w:t xml:space="preserve">  [Intermediate]</w:t>
      </w:r>
    </w:p>
    <w:p>
      <w:pPr>
        <w:pStyle w:val="KeyPoint"/>
      </w:pPr>
      <w:r>
        <w:rPr>
          <w:b/>
        </w:rPr>
        <w:t xml:space="preserve">Key point: </w:t>
      </w:r>
      <w:r>
        <w:t>Benchmarks are clean but incomplete.</w:t>
      </w:r>
    </w:p>
    <w:p>
      <w:pPr>
        <w:pStyle w:val="BodyText"/>
      </w:pPr>
      <w:r>
        <w:t>Public benchmarks enable comparison but may be single centre, small, label coarse or not outcome linked. Clinical utility requires the messy variation of real practice and richer clinical context.</w:t>
      </w:r>
    </w:p>
    <w:p>
      <w:pPr>
        <w:pStyle w:val="QHeading"/>
      </w:pPr>
      <w:r>
        <w:rPr>
          <w:b/>
        </w:rPr>
        <w:t>Q11. How do OAI, KMAR-50K, fastMRI+, MeniMV and SKM-TEA support your argument?</w:t>
      </w:r>
      <w:r>
        <w:rPr>
          <w:b/>
          <w:color w:val="B87C0D"/>
        </w:rPr>
        <w:t xml:space="preserve">  [Intermediate]</w:t>
      </w:r>
    </w:p>
    <w:p>
      <w:pPr>
        <w:pStyle w:val="KeyPoint"/>
      </w:pPr>
      <w:r>
        <w:rPr>
          <w:b/>
        </w:rPr>
        <w:t xml:space="preserve">Key point: </w:t>
      </w:r>
      <w:r>
        <w:t>They show trade-offs between scale, label richness and task relevance.</w:t>
      </w:r>
    </w:p>
    <w:p>
      <w:pPr>
        <w:pStyle w:val="BodyText"/>
      </w:pPr>
      <w:r>
        <w:t>Some datasets are large but focused on osteoarthritis or reconstruction. Some are rich in annotations but small. Some are pathology labelled but not outcome linked. This supports the point that the field lacks large, clinically linked knee MRI repositories.</w:t>
      </w:r>
    </w:p>
    <w:p>
      <w:pPr>
        <w:pStyle w:val="QHeading"/>
      </w:pPr>
      <w:r>
        <w:rPr>
          <w:b/>
        </w:rPr>
        <w:t>Q12. What do you mean by “100% learning ready data” if not open data?</w:t>
      </w:r>
      <w:r>
        <w:rPr>
          <w:b/>
          <w:color w:val="B87C0D"/>
        </w:rPr>
        <w:t xml:space="preserve">  [High intermediate]</w:t>
      </w:r>
    </w:p>
    <w:p>
      <w:pPr>
        <w:pStyle w:val="KeyPoint"/>
      </w:pPr>
      <w:r>
        <w:rPr>
          <w:b/>
        </w:rPr>
        <w:t xml:space="preserve">Key point: </w:t>
      </w:r>
      <w:r>
        <w:t>Governed usability, not public release.</w:t>
      </w:r>
    </w:p>
    <w:p>
      <w:pPr>
        <w:pStyle w:val="BodyText"/>
      </w:pPr>
      <w:r>
        <w:t>The aim is not that every scan should be downloadable by everyone. It is that routine data can be safely linked, labelled, de-identified, audited and used within trusted research environments.</w:t>
      </w:r>
    </w:p>
    <w:p>
      <w:pPr>
        <w:pStyle w:val="QHeading"/>
      </w:pPr>
      <w:r>
        <w:rPr>
          <w:b/>
        </w:rPr>
        <w:t>Q13. Why mention ImageNet?</w:t>
      </w:r>
      <w:r>
        <w:rPr>
          <w:b/>
          <w:color w:val="B87C0D"/>
        </w:rPr>
        <w:t xml:space="preserve">  [Intermediate]</w:t>
      </w:r>
    </w:p>
    <w:p>
      <w:pPr>
        <w:pStyle w:val="KeyPoint"/>
      </w:pPr>
      <w:r>
        <w:rPr>
          <w:b/>
        </w:rPr>
        <w:t xml:space="preserve">Key point: </w:t>
      </w:r>
      <w:r>
        <w:t>As an analogy for shared labelled infrastructure, not as a direct medical template.</w:t>
      </w:r>
    </w:p>
    <w:p>
      <w:pPr>
        <w:pStyle w:val="BodyText"/>
      </w:pPr>
      <w:r>
        <w:t>ImageNet showed how a large labelled resource can accelerate a field. Medical imaging needs something more governed and clinically linked, but the underlying lesson is that data infrastructure can matter as much as model architecture.</w:t>
      </w:r>
    </w:p>
    <w:p>
      <w:pPr>
        <w:pStyle w:val="QHeading"/>
      </w:pPr>
      <w:r>
        <w:rPr>
          <w:b/>
        </w:rPr>
        <w:t>Q14. If baseline ResNet18 won, does your architecture expansion thesis fail?</w:t>
      </w:r>
      <w:r>
        <w:rPr>
          <w:b/>
          <w:color w:val="B87C0D"/>
        </w:rPr>
        <w:t xml:space="preserve">  [High intermediate]</w:t>
      </w:r>
    </w:p>
    <w:p>
      <w:pPr>
        <w:pStyle w:val="KeyPoint"/>
      </w:pPr>
      <w:r>
        <w:rPr>
          <w:b/>
        </w:rPr>
        <w:t xml:space="preserve">Key point: </w:t>
      </w:r>
      <w:r>
        <w:t>No. It strengthens the thesis that architecture must be searched and tested, not assumed.</w:t>
      </w:r>
    </w:p>
    <w:p>
      <w:pPr>
        <w:pStyle w:val="BodyText"/>
      </w:pPr>
      <w:r>
        <w:t>The point is not that newer is always better. The point is that the architecture space is now too large for ad hoc experimentation. Agentic systems could help test baselines, ablations and alternatives systematically, but clinical validation remains essential.</w:t>
      </w:r>
    </w:p>
    <w:p>
      <w:pPr>
        <w:pStyle w:val="QHeading"/>
      </w:pPr>
      <w:r>
        <w:rPr>
          <w:b/>
        </w:rPr>
        <w:t>Q15. What does “agentic search problem” mean in this context?</w:t>
      </w:r>
      <w:r>
        <w:rPr>
          <w:b/>
          <w:color w:val="B87C0D"/>
        </w:rPr>
        <w:t xml:space="preserve">  [Intermediate]</w:t>
      </w:r>
    </w:p>
    <w:p>
      <w:pPr>
        <w:pStyle w:val="KeyPoint"/>
      </w:pPr>
      <w:r>
        <w:rPr>
          <w:b/>
        </w:rPr>
        <w:t xml:space="preserve">Key point: </w:t>
      </w:r>
      <w:r>
        <w:t>A structured loop of propose, run, evaluate, diagnose and refine.</w:t>
      </w:r>
    </w:p>
    <w:p>
      <w:pPr>
        <w:pStyle w:val="BodyText"/>
      </w:pPr>
      <w:r>
        <w:t>An agentic researcher could reproduce baselines, modify pooling or augmentation, test fusion strategies, review failure modes and propose next experiments. It is useful for accelerating research iteration, not for bypassing clinical evidence.</w:t>
      </w:r>
    </w:p>
    <w:p>
      <w:pPr>
        <w:pStyle w:val="QHeading"/>
      </w:pPr>
      <w:r>
        <w:rPr>
          <w:b/>
        </w:rPr>
        <w:t>Q16. How would you prevent an agentic system from overfitting the benchmark?</w:t>
      </w:r>
      <w:r>
        <w:rPr>
          <w:b/>
          <w:color w:val="B87C0D"/>
        </w:rPr>
        <w:t xml:space="preserve">  [Advanced]</w:t>
      </w:r>
    </w:p>
    <w:p>
      <w:pPr>
        <w:pStyle w:val="KeyPoint"/>
      </w:pPr>
      <w:r>
        <w:rPr>
          <w:b/>
        </w:rPr>
        <w:t xml:space="preserve">Key point: </w:t>
      </w:r>
      <w:r>
        <w:t>Separate development, internal validation, locked held out testing and external data.</w:t>
      </w:r>
    </w:p>
    <w:p>
      <w:pPr>
        <w:pStyle w:val="BodyText"/>
      </w:pPr>
      <w:r>
        <w:t>Agentic search can overfit even faster than humans if allowed to optimise repeatedly against a test set. Safeguards include nested validation, locked test sets, external validation, audit logs and limits on how often held out results are inspected.</w:t>
      </w:r>
    </w:p>
    <w:p>
      <w:pPr>
        <w:pStyle w:val="QHeading"/>
      </w:pPr>
      <w:r>
        <w:rPr>
          <w:b/>
        </w:rPr>
        <w:t>Q17. How could explainability drive learning rather than just presentation?</w:t>
      </w:r>
      <w:r>
        <w:rPr>
          <w:b/>
          <w:color w:val="B87C0D"/>
        </w:rPr>
        <w:t xml:space="preserve">  [High intermediate]</w:t>
      </w:r>
    </w:p>
    <w:p>
      <w:pPr>
        <w:pStyle w:val="KeyPoint"/>
      </w:pPr>
      <w:r>
        <w:rPr>
          <w:b/>
        </w:rPr>
        <w:t xml:space="preserve">Key point: </w:t>
      </w:r>
      <w:r>
        <w:t>Use explanations to propose tests and constraints.</w:t>
      </w:r>
    </w:p>
    <w:p>
      <w:pPr>
        <w:pStyle w:val="BodyText"/>
      </w:pPr>
      <w:r>
        <w:t>Grad-CAM can identify recurring failure patterns. Those patterns can motivate targeted ablations, preprocessing changes, sampling strategies or annotation improvements. In advanced settings, explanation based penalties or human feedback could push models to be right for the right reasons.</w:t>
      </w:r>
    </w:p>
    <w:p>
      <w:pPr>
        <w:pStyle w:val="QHeading"/>
      </w:pPr>
      <w:r>
        <w:rPr>
          <w:b/>
        </w:rPr>
        <w:t>Q18. What would a clinician ask before trusting the model?</w:t>
      </w:r>
      <w:r>
        <w:rPr>
          <w:b/>
          <w:color w:val="B87C0D"/>
        </w:rPr>
        <w:t xml:space="preserve">  [High intermediate]</w:t>
      </w:r>
    </w:p>
    <w:p>
      <w:pPr>
        <w:pStyle w:val="KeyPoint"/>
      </w:pPr>
      <w:r>
        <w:rPr>
          <w:b/>
        </w:rPr>
        <w:t xml:space="preserve">Key point: </w:t>
      </w:r>
      <w:r>
        <w:t>Does it work on my patients, my scanner, my protocols and my workflow?</w:t>
      </w:r>
    </w:p>
    <w:p>
      <w:pPr>
        <w:pStyle w:val="BodyText"/>
      </w:pPr>
      <w:r>
        <w:t>A clinician would want external validation, calibration, failure mode analysis, subgroup performance, examples of missed cases, and clarity on whether the model improves care without adding unsafe workload.</w:t>
      </w:r>
    </w:p>
    <w:p>
      <w:pPr>
        <w:pStyle w:val="QHeading"/>
      </w:pPr>
      <w:r>
        <w:rPr>
          <w:b/>
        </w:rPr>
        <w:t>Q19. Why might AUC be clinically misleading?</w:t>
      </w:r>
      <w:r>
        <w:rPr>
          <w:b/>
          <w:color w:val="B87C0D"/>
        </w:rPr>
        <w:t xml:space="preserve">  [High intermediate]</w:t>
      </w:r>
    </w:p>
    <w:p>
      <w:pPr>
        <w:pStyle w:val="KeyPoint"/>
      </w:pPr>
      <w:r>
        <w:rPr>
          <w:b/>
        </w:rPr>
        <w:t xml:space="preserve">Key point: </w:t>
      </w:r>
      <w:r>
        <w:t>AUC is ranking, not clinical action.</w:t>
      </w:r>
    </w:p>
    <w:p>
      <w:pPr>
        <w:pStyle w:val="BodyText"/>
      </w:pPr>
      <w:r>
        <w:t>A model can rank cases well but still have poor calibration, a bad operating threshold, poor subgroup performance or low positive predictive value in a new population. Clinical deployment needs decision thresholds and utility analysis, not just AUC.</w:t>
      </w:r>
    </w:p>
    <w:p>
      <w:pPr>
        <w:pStyle w:val="QHeading"/>
      </w:pPr>
      <w:r>
        <w:rPr>
          <w:b/>
        </w:rPr>
        <w:t>Q20. Could strong AUC be inflated by label simplicity?</w:t>
      </w:r>
      <w:r>
        <w:rPr>
          <w:b/>
          <w:color w:val="B87C0D"/>
        </w:rPr>
        <w:t xml:space="preserve">  [Advanced]</w:t>
      </w:r>
    </w:p>
    <w:p>
      <w:pPr>
        <w:pStyle w:val="KeyPoint"/>
      </w:pPr>
      <w:r>
        <w:rPr>
          <w:b/>
        </w:rPr>
        <w:t xml:space="preserve">Key point: </w:t>
      </w:r>
      <w:r>
        <w:t>Yes, broad labels can make the task easier than clinical diagnosis.</w:t>
      </w:r>
    </w:p>
    <w:p>
      <w:pPr>
        <w:pStyle w:val="BodyText"/>
      </w:pPr>
      <w:r>
        <w:t>Abnormality is broad, so the model can exploit many signals without identifying a specific lesion. Binary labels also ignore severity and management. A high AUC on a coarse task does not imply a model can make detailed clinical decisions.</w:t>
      </w:r>
    </w:p>
    <w:p>
      <w:pPr>
        <w:pStyle w:val="QHeading"/>
      </w:pPr>
      <w:r>
        <w:rPr>
          <w:b/>
        </w:rPr>
        <w:t>Q21. What is the problem with report derived labels?</w:t>
      </w:r>
      <w:r>
        <w:rPr>
          <w:b/>
          <w:color w:val="B87C0D"/>
        </w:rPr>
        <w:t xml:space="preserve">  [High intermediate]</w:t>
      </w:r>
    </w:p>
    <w:p>
      <w:pPr>
        <w:pStyle w:val="KeyPoint"/>
      </w:pPr>
      <w:r>
        <w:rPr>
          <w:b/>
        </w:rPr>
        <w:t xml:space="preserve">Key point: </w:t>
      </w:r>
      <w:r>
        <w:t>Reports reflect radiologist interpretation, not necessarily ground truth.</w:t>
      </w:r>
    </w:p>
    <w:p>
      <w:pPr>
        <w:pStyle w:val="BodyText"/>
      </w:pPr>
      <w:r>
        <w:t>Reports can be incomplete, ambiguous or inconsistent. They may miss subtle pathology or use variable wording. Surgical findings or follow-up outcomes would provide stronger labels for some questions.</w:t>
      </w:r>
    </w:p>
    <w:p>
      <w:pPr>
        <w:pStyle w:val="QHeading"/>
      </w:pPr>
      <w:r>
        <w:rPr>
          <w:b/>
        </w:rPr>
        <w:t>Q22. What would “surgical truth” add?</w:t>
      </w:r>
      <w:r>
        <w:rPr>
          <w:b/>
          <w:color w:val="B87C0D"/>
        </w:rPr>
        <w:t xml:space="preserve">  [Intermediate]</w:t>
      </w:r>
    </w:p>
    <w:p>
      <w:pPr>
        <w:pStyle w:val="KeyPoint"/>
      </w:pPr>
      <w:r>
        <w:rPr>
          <w:b/>
        </w:rPr>
        <w:t xml:space="preserve">Key point: </w:t>
      </w:r>
      <w:r>
        <w:t>A more objective confirmation for surgically treated cases.</w:t>
      </w:r>
    </w:p>
    <w:p>
      <w:pPr>
        <w:pStyle w:val="BodyText"/>
      </w:pPr>
      <w:r>
        <w:t>For ACL and meniscal tears, operative findings can confirm what was actually seen. But surgical truth is itself selected: only certain patients undergo surgery, so it can introduce selection bias.</w:t>
      </w:r>
    </w:p>
    <w:p>
      <w:pPr>
        <w:pStyle w:val="QHeading"/>
      </w:pPr>
      <w:r>
        <w:rPr>
          <w:b/>
        </w:rPr>
        <w:t>Q23. What would outcome linkage add?</w:t>
      </w:r>
      <w:r>
        <w:rPr>
          <w:b/>
          <w:color w:val="B87C0D"/>
        </w:rPr>
        <w:t xml:space="preserve">  [Intermediate]</w:t>
      </w:r>
    </w:p>
    <w:p>
      <w:pPr>
        <w:pStyle w:val="KeyPoint"/>
      </w:pPr>
      <w:r>
        <w:rPr>
          <w:b/>
        </w:rPr>
        <w:t xml:space="preserve">Key point: </w:t>
      </w:r>
      <w:r>
        <w:t>It connects imaging findings to clinical relevance.</w:t>
      </w:r>
    </w:p>
    <w:p>
      <w:pPr>
        <w:pStyle w:val="BodyText"/>
      </w:pPr>
      <w:r>
        <w:t>Outcome linkage tells us whether the imaging finding mattered: surgery, physiotherapy, recovery, re-injury, pain, function or return to sport. This shifts the task from image classification toward clinically useful prediction.</w:t>
      </w:r>
    </w:p>
    <w:p>
      <w:pPr>
        <w:pStyle w:val="QHeading"/>
      </w:pPr>
      <w:r>
        <w:rPr>
          <w:b/>
        </w:rPr>
        <w:t>Q24. How would you design a better future dataset?</w:t>
      </w:r>
      <w:r>
        <w:rPr>
          <w:b/>
          <w:color w:val="B87C0D"/>
        </w:rPr>
        <w:t xml:space="preserve">  [High intermediate]</w:t>
      </w:r>
    </w:p>
    <w:p>
      <w:pPr>
        <w:pStyle w:val="KeyPoint"/>
      </w:pPr>
      <w:r>
        <w:rPr>
          <w:b/>
        </w:rPr>
        <w:t xml:space="preserve">Key point: </w:t>
      </w:r>
      <w:r>
        <w:t>Multi-centre images plus structured labels, localisation, severity and outcomes.</w:t>
      </w:r>
    </w:p>
    <w:p>
      <w:pPr>
        <w:pStyle w:val="BodyText"/>
      </w:pPr>
      <w:r>
        <w:t>I would include MRI planes, protocols, reports, structured ACL and meniscus fields, localisation, severity, operative findings where available, treatment decisions, outcomes and metadata. The dataset should support both classification and clinically richer prediction tasks.</w:t>
      </w:r>
    </w:p>
    <w:p>
      <w:pPr>
        <w:pStyle w:val="QHeading"/>
      </w:pPr>
      <w:r>
        <w:rPr>
          <w:b/>
        </w:rPr>
        <w:t>Q25. How would you validate across hospitals?</w:t>
      </w:r>
      <w:r>
        <w:rPr>
          <w:b/>
          <w:color w:val="B87C0D"/>
        </w:rPr>
        <w:t xml:space="preserve">  [Advanced]</w:t>
      </w:r>
    </w:p>
    <w:p>
      <w:pPr>
        <w:pStyle w:val="KeyPoint"/>
      </w:pPr>
      <w:r>
        <w:rPr>
          <w:b/>
        </w:rPr>
        <w:t xml:space="preserve">Key point: </w:t>
      </w:r>
      <w:r>
        <w:t>Train on one or more sites, test on unseen sites, then monitor prospectively.</w:t>
      </w:r>
    </w:p>
    <w:p>
      <w:pPr>
        <w:pStyle w:val="BodyText"/>
      </w:pPr>
      <w:r>
        <w:t>A robust design would include site held out validation, subgroup analyses by scanner/protocol/patient group, calibration at each site, and prospective silent trial before any clinical workflow use.</w:t>
      </w:r>
    </w:p>
    <w:p>
      <w:pPr>
        <w:pStyle w:val="QHeading"/>
      </w:pPr>
      <w:r>
        <w:rPr>
          <w:b/>
        </w:rPr>
        <w:t>Q26. What about fairness and bias?</w:t>
      </w:r>
      <w:r>
        <w:rPr>
          <w:b/>
          <w:color w:val="B87C0D"/>
        </w:rPr>
        <w:t xml:space="preserve">  [High intermediate]</w:t>
      </w:r>
    </w:p>
    <w:p>
      <w:pPr>
        <w:pStyle w:val="KeyPoint"/>
      </w:pPr>
      <w:r>
        <w:rPr>
          <w:b/>
        </w:rPr>
        <w:t xml:space="preserve">Key point: </w:t>
      </w:r>
      <w:r>
        <w:t>The model may underperform in under-represented groups or protocols.</w:t>
      </w:r>
    </w:p>
    <w:p>
      <w:pPr>
        <w:pStyle w:val="BodyText"/>
      </w:pPr>
      <w:r>
        <w:t>We need subgroup analysis by sex, age, injury prevalence, scanner, protocol and possibly referral pathway. Fairness is not just demographic; acquisition and workflow bias can also create unequal performance.</w:t>
      </w:r>
    </w:p>
    <w:p>
      <w:pPr>
        <w:pStyle w:val="QHeading"/>
      </w:pPr>
      <w:r>
        <w:rPr>
          <w:b/>
        </w:rPr>
        <w:t>Q27. What should be done if performance drops externally?</w:t>
      </w:r>
      <w:r>
        <w:rPr>
          <w:b/>
          <w:color w:val="B87C0D"/>
        </w:rPr>
        <w:t xml:space="preserve">  [Advanced]</w:t>
      </w:r>
    </w:p>
    <w:p>
      <w:pPr>
        <w:pStyle w:val="KeyPoint"/>
      </w:pPr>
      <w:r>
        <w:rPr>
          <w:b/>
        </w:rPr>
        <w:t xml:space="preserve">Key point: </w:t>
      </w:r>
      <w:r>
        <w:t>Do not deploy; diagnose shift and recalibrate or retrain with governance.</w:t>
      </w:r>
    </w:p>
    <w:p>
      <w:pPr>
        <w:pStyle w:val="BodyText"/>
      </w:pPr>
      <w:r>
        <w:t>External drop can reflect scanner differences, protocol differences, prevalence shift or label differences. The response should be error analysis, calibration, possible domain adaptation and revalidation, not simply adjusting thresholds until metrics look acceptable.</w:t>
      </w:r>
    </w:p>
    <w:p>
      <w:pPr>
        <w:pStyle w:val="QHeading"/>
      </w:pPr>
      <w:r>
        <w:rPr>
          <w:b/>
        </w:rPr>
        <w:t>Q28. How could a model change radiologist behaviour?</w:t>
      </w:r>
      <w:r>
        <w:rPr>
          <w:b/>
          <w:color w:val="B87C0D"/>
        </w:rPr>
        <w:t xml:space="preserve">  [Advanced]</w:t>
      </w:r>
    </w:p>
    <w:p>
      <w:pPr>
        <w:pStyle w:val="KeyPoint"/>
      </w:pPr>
      <w:r>
        <w:rPr>
          <w:b/>
        </w:rPr>
        <w:t xml:space="preserve">Key point: </w:t>
      </w:r>
      <w:r>
        <w:t>It may help prioritise, but it may also anchor readers.</w:t>
      </w:r>
    </w:p>
    <w:p>
      <w:pPr>
        <w:pStyle w:val="BodyText"/>
      </w:pPr>
      <w:r>
        <w:t>A model output can increase efficiency, but it can also create automation bias. Prospective studies should measure not only accuracy but reporting time, disagreement handling, false reassurance and whether radiologists overtrust the model.</w:t>
      </w:r>
    </w:p>
    <w:p>
      <w:pPr>
        <w:pStyle w:val="QHeading"/>
      </w:pPr>
      <w:r>
        <w:rPr>
          <w:b/>
        </w:rPr>
        <w:t>Q29. What regulatory class would this likely fall into?</w:t>
      </w:r>
      <w:r>
        <w:rPr>
          <w:b/>
          <w:color w:val="B87C0D"/>
        </w:rPr>
        <w:t xml:space="preserve">  [Advanced]</w:t>
      </w:r>
    </w:p>
    <w:p>
      <w:pPr>
        <w:pStyle w:val="KeyPoint"/>
      </w:pPr>
      <w:r>
        <w:rPr>
          <w:b/>
        </w:rPr>
        <w:t xml:space="preserve">Key point: </w:t>
      </w:r>
      <w:r>
        <w:t>As clinical decision support or triage software, it would need medical device governance.</w:t>
      </w:r>
    </w:p>
    <w:p>
      <w:pPr>
        <w:pStyle w:val="BodyText"/>
      </w:pPr>
      <w:r>
        <w:t>The exact class depends on jurisdiction and intended use. A triage or diagnostic support tool would need quality management, risk management, validation, post-market monitoring and clear human oversight. In viva, the safe point is that intended use determines the regulatory burden.</w:t>
      </w:r>
    </w:p>
    <w:p>
      <w:pPr>
        <w:pStyle w:val="QHeading"/>
      </w:pPr>
      <w:r>
        <w:rPr>
          <w:b/>
        </w:rPr>
        <w:t>Q30. Would you prioritise better models or better data next?</w:t>
      </w:r>
      <w:r>
        <w:rPr>
          <w:b/>
          <w:color w:val="B87C0D"/>
        </w:rPr>
        <w:t xml:space="preserve">  [High intermediate]</w:t>
      </w:r>
    </w:p>
    <w:p>
      <w:pPr>
        <w:pStyle w:val="KeyPoint"/>
      </w:pPr>
      <w:r>
        <w:rPr>
          <w:b/>
        </w:rPr>
        <w:t xml:space="preserve">Key point: </w:t>
      </w:r>
      <w:r>
        <w:t>Better data and validation first.</w:t>
      </w:r>
    </w:p>
    <w:p>
      <w:pPr>
        <w:pStyle w:val="BodyText"/>
      </w:pPr>
      <w:r>
        <w:t>The architecture experiments are useful, but the main clinical bottleneck is richer and externally validated data. Without localisation, severity and outcomes, model improvements may increase benchmark performance without increasing clinical utility.</w:t>
      </w:r>
    </w:p>
    <w:p>
      <w:pPr>
        <w:pStyle w:val="QHeading"/>
      </w:pPr>
      <w:r>
        <w:rPr>
          <w:b/>
        </w:rPr>
        <w:t>Q31. What is the hardest question an examiner might ask?</w:t>
      </w:r>
      <w:r>
        <w:rPr>
          <w:b/>
          <w:color w:val="B87C0D"/>
        </w:rPr>
        <w:t xml:space="preserve">  [Advanced]</w:t>
      </w:r>
    </w:p>
    <w:p>
      <w:pPr>
        <w:pStyle w:val="KeyPoint"/>
      </w:pPr>
      <w:r>
        <w:rPr>
          <w:b/>
        </w:rPr>
        <w:t xml:space="preserve">Key point: </w:t>
      </w:r>
      <w:r>
        <w:t>What, exactly, would change clinical management?</w:t>
      </w:r>
    </w:p>
    <w:p>
      <w:pPr>
        <w:pStyle w:val="BodyText"/>
      </w:pPr>
      <w:r>
        <w:t>The honest answer is that the current model does not yet change management. A future version might prioritise scans, reduce missed tears or support structured reporting, but that needs prospective evidence and outcome-linked validation.</w:t>
      </w:r>
    </w:p>
    <w:p>
      <w:pPr>
        <w:pStyle w:val="QHeading"/>
      </w:pPr>
      <w:r>
        <w:rPr>
          <w:b/>
        </w:rPr>
        <w:t>Q32. How would you turn this into a proper clinical study?</w:t>
      </w:r>
      <w:r>
        <w:rPr>
          <w:b/>
          <w:color w:val="B87C0D"/>
        </w:rPr>
        <w:t xml:space="preserve">  [Advanced]</w:t>
      </w:r>
    </w:p>
    <w:p>
      <w:pPr>
        <w:pStyle w:val="KeyPoint"/>
      </w:pPr>
      <w:r>
        <w:rPr>
          <w:b/>
        </w:rPr>
        <w:t xml:space="preserve">Key point: </w:t>
      </w:r>
      <w:r>
        <w:t>Silent trial, then assisted reader study, then workflow evaluation.</w:t>
      </w:r>
    </w:p>
    <w:p>
      <w:pPr>
        <w:pStyle w:val="BodyText"/>
      </w:pPr>
      <w:r>
        <w:t>First validate silently on prospective data without influencing care. Next test radiologists with and without model assistance. Then evaluate workflow effects, reporting time, false positives, false negatives, downstream referrals and patient outcomes.</w:t>
      </w:r>
    </w:p>
    <w:p>
      <w:pPr>
        <w:pStyle w:val="QHeading"/>
      </w:pPr>
      <w:r>
        <w:rPr>
          <w:b/>
        </w:rPr>
        <w:t>Q33. What would you say if asked “why not just use a radiologist?”</w:t>
      </w:r>
      <w:r>
        <w:rPr>
          <w:b/>
          <w:color w:val="B87C0D"/>
        </w:rPr>
        <w:t xml:space="preserve">  [Core]</w:t>
      </w:r>
    </w:p>
    <w:p>
      <w:pPr>
        <w:pStyle w:val="KeyPoint"/>
      </w:pPr>
      <w:r>
        <w:rPr>
          <w:b/>
        </w:rPr>
        <w:t xml:space="preserve">Key point: </w:t>
      </w:r>
      <w:r>
        <w:t>The aim is to support scarce expert attention, not replace it.</w:t>
      </w:r>
    </w:p>
    <w:p>
      <w:pPr>
        <w:pStyle w:val="BodyText"/>
      </w:pPr>
      <w:r>
        <w:t>Radiologists remain the clinical decision makers. AI may help prioritise cases, reduce misses and standardise reporting, especially where demand exceeds capacity. The value proposition is workflow support under governance.</w:t>
      </w:r>
    </w:p>
    <w:p>
      <w:pPr>
        <w:pStyle w:val="QHeading"/>
      </w:pPr>
      <w:r>
        <w:rPr>
          <w:b/>
        </w:rPr>
        <w:t>Q34. What would make you abandon the model?</w:t>
      </w:r>
      <w:r>
        <w:rPr>
          <w:b/>
          <w:color w:val="B87C0D"/>
        </w:rPr>
        <w:t xml:space="preserve">  [Advanced]</w:t>
      </w:r>
    </w:p>
    <w:p>
      <w:pPr>
        <w:pStyle w:val="KeyPoint"/>
      </w:pPr>
      <w:r>
        <w:rPr>
          <w:b/>
        </w:rPr>
        <w:t xml:space="preserve">Key point: </w:t>
      </w:r>
      <w:r>
        <w:t>Poor external generalisation, unsafe false negatives or reliance on spurious features.</w:t>
      </w:r>
    </w:p>
    <w:p>
      <w:pPr>
        <w:pStyle w:val="BodyText"/>
      </w:pPr>
      <w:r>
        <w:t>If external validation showed unstable performance, poor calibration or failure in key subgroups, the model should not be deployed. If Grad-CAM or ablations suggested strong shortcut learning, the model should be redesigned or retrained with better labels.</w:t>
      </w:r>
    </w:p>
    <w:p>
      <w:pPr>
        <w:pStyle w:val="QHeading"/>
      </w:pPr>
      <w:r>
        <w:rPr>
          <w:b/>
        </w:rPr>
        <w:t>Q35. What is your best final viva answer?</w:t>
      </w:r>
      <w:r>
        <w:rPr>
          <w:b/>
          <w:color w:val="B87C0D"/>
        </w:rPr>
        <w:t xml:space="preserve">  [Core]</w:t>
      </w:r>
    </w:p>
    <w:p>
      <w:pPr>
        <w:pStyle w:val="KeyPoint"/>
      </w:pPr>
      <w:r>
        <w:rPr>
          <w:b/>
        </w:rPr>
        <w:t xml:space="preserve">Key point: </w:t>
      </w:r>
      <w:r>
        <w:t>Strong benchmark results are only the start.</w:t>
      </w:r>
    </w:p>
    <w:p>
      <w:pPr>
        <w:pStyle w:val="BodyText"/>
      </w:pPr>
      <w:r>
        <w:t>Our work shows that a simple ResNet18 fusion baseline can perform strongly on MRNet, while SwinViT is competitive and best for abnormality. But the wider lesson is that clinical utility needs more than AUC: it needs external validation, calibrated thresholds, explainable error review and learning ready clinical data with richer labels and outcomes.</w:t>
      </w:r>
    </w:p>
    <w:p>
      <w:r>
        <w:br w:type="page"/>
      </w:r>
    </w:p>
    <w:p>
      <w:pPr>
        <w:pStyle w:val="Heading1"/>
      </w:pPr>
      <w:r>
        <w:t>Rapid Rehearsal: Ten Questions To Practise Aloud</w:t>
      </w:r>
    </w:p>
    <w:p>
      <w:pPr>
        <w:pStyle w:val="ListNumber"/>
      </w:pPr>
      <w:r>
        <w:t>Why did the simple ResNet18 baseline outperform more complex models overall?</w:t>
      </w:r>
    </w:p>
    <w:p>
      <w:pPr>
        <w:pStyle w:val="ListNumber"/>
      </w:pPr>
      <w:r>
        <w:t>Why is the aggregate N equal to 357 and not 357 patients?</w:t>
      </w:r>
    </w:p>
    <w:p>
      <w:pPr>
        <w:pStyle w:val="ListNumber"/>
      </w:pPr>
      <w:r>
        <w:t>How did you avoid leakage in fusion and model selection?</w:t>
      </w:r>
    </w:p>
    <w:p>
      <w:pPr>
        <w:pStyle w:val="ListNumber"/>
      </w:pPr>
      <w:r>
        <w:t>Why is attention not the same as explainability?</w:t>
      </w:r>
    </w:p>
    <w:p>
      <w:pPr>
        <w:pStyle w:val="ListNumber"/>
      </w:pPr>
      <w:r>
        <w:t>What does Grad-CAM show, and what does it not show?</w:t>
      </w:r>
    </w:p>
    <w:p>
      <w:pPr>
        <w:pStyle w:val="ListNumber"/>
      </w:pPr>
      <w:r>
        <w:t>Why is meniscal tear classification harder?</w:t>
      </w:r>
    </w:p>
    <w:p>
      <w:pPr>
        <w:pStyle w:val="ListNumber"/>
      </w:pPr>
      <w:r>
        <w:t>What would make this clinically deployable?</w:t>
      </w:r>
    </w:p>
    <w:p>
      <w:pPr>
        <w:pStyle w:val="ListNumber"/>
      </w:pPr>
      <w:r>
        <w:t>What does MRNet lack as a clinical dataset?</w:t>
      </w:r>
    </w:p>
    <w:p>
      <w:pPr>
        <w:pStyle w:val="ListNumber"/>
      </w:pPr>
      <w:r>
        <w:t>If AUC is strong, why is that not enough?</w:t>
      </w:r>
    </w:p>
    <w:p>
      <w:pPr>
        <w:pStyle w:val="ListNumber"/>
      </w:pPr>
      <w:r>
        <w:t>What would you do next with six months and access to hospital data?</w:t>
      </w:r>
    </w:p>
    <w:p>
      <w:r>
        <w:rPr>
          <w:b/>
        </w:rPr>
        <w:t xml:space="preserve">Document note: </w:t>
      </w:r>
      <w:r>
        <w:t>Prepared as a viva aid. It consolidates the uploaded system card, technical FAQ and report/presentation narrative, and adds higher difficulty clinical, data and architecture questions.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For viva preparation only - not a clinical system card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RDGY41710 MRNet viva preparation - consolidated model card and 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31F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31F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31F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31F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Heading">
    <w:name w:val="Q Heading"/>
    <w:pPr>
      <w:spacing w:before="140" w:after="40"/>
    </w:pPr>
    <w:rPr>
      <w:rFonts w:ascii="Arial" w:hAnsi="Arial"/>
      <w:b/>
      <w:color w:val="131F2B"/>
      <w:sz w:val="21"/>
    </w:rPr>
  </w:style>
  <w:style w:type="paragraph" w:customStyle="1" w:styleId="KeyPoint">
    <w:name w:val="Key Point"/>
    <w:pPr>
      <w:spacing w:after="40"/>
      <w:ind w:left="216"/>
    </w:pPr>
    <w:rPr>
      <w:rFonts w:ascii="Arial" w:hAnsi="Arial"/>
      <w:i/>
      <w:color w:val="4F60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