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나눔고딕" w:hAnsi="나눔고딕" w:eastAsia="나눔고딕"/>
          <w:b/>
          <w:sz w:val="32"/>
        </w:rPr>
        <w:t>일용직 근로계약서 (D-2)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일용직 근로계약서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사용자(이하 "甲") O O O O (주)와 근로자(이하 "乙") O O O는 「근로기준법」에 따라 다음과 같이 근로계약을 체결한다.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1. 근 로 현 장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 OO신축공사 현장 ]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2. 직종 및 업무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□ 철골 조립공 □ 용접공 □ 보조공 □ 신호수 □ 기타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3. 근 로 기 간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202X년 X월 X일 ~ 공정 완료 시점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4. 임 금 (일급)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일급 금 O O O O O원정 (제세공과금 포함, 세전액)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5. 지급방법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근로자 "乙 본인" 명의 계좌 일괄 이체 절대 준수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제1조 (근로계약 기간 및 시간)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본 계약은 일용 근로단위로 체결된다.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1일 소정근로시간은 8시간 (08:00~17:00, 점심 휴게 1시간 제외)이며 연장근로, 야간근무는 통상임금 기준 가산 지급에 동의한다.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제2조 (업무 지시 및 복종)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"乙"의 모든 공정업무는 반드시 "甲" 소속 현장대리인 직접 관리 지휘통제 하에 진행되어야 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제3조 (임금의 절대적 본인 지급 원칙)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임금은 "乙" 본인 명의 계좌로 직접 송금한다.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어떠한 경우에도 제3자(반장, 십장 팀장)의 통장으로 위임 이체 수령하거나 재분배 할 수 없다. (근로기준법 43조 통화/직접/전액지불 원칙)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제4조 (4대 사회보험 가입)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"甲"은 현장에 출입하는 일용근로자 전원을 대상으로 산재/고용보험 등 법정 요건에 따른 4대보험에 본가입한다.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제5조 (안전보건 의무)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"乙"은 출입 시 안전보건 TBM교육 이수명부 제출, 개인 안전화 벨트 착용 및 지시 순응 조치를 완벽히 따른다.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부 칙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계약의 성립을 증명하기 위하여 쌍방이 서명한 후 각 보관한다.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년      월     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[사업주 / 甲]</w:t>
              <w:br/>
              <w:br/>
              <w:t>상   호 : O O O O (주)</w:t>
              <w:br/>
              <w:t>주   소 :</w:t>
              <w:br/>
              <w:t>대표자 :                   (인)</w:t>
              <w:br/>
              <w:t>연락처 :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[근로자 / 乙]</w:t>
              <w:br/>
              <w:br/>
              <w:t>성명 : O O O    (인)</w:t>
              <w:br/>
              <w:t>주민등록번호 :</w:t>
              <w:br/>
              <w:t>계좌번호 :          은행</w:t>
              <w:br/>
              <w:t>연락처 :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rFonts w:ascii="나눔고딕" w:hAnsi="나눔고딕" w:eastAsia="나눔고딕"/>
          <w:b/>
          <w:sz w:val="26"/>
        </w:rPr>
        <w:t>매뉴얼 지침 및 원가 분류 유의사항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매뉴얼 지침: 이 계약서가 모든 방어의 최종 퍼즐입니다. 수사관은 반드시 확인합니다: "근로자 한 명 한 명과 직접 근로계약을 맺었는가? 4대보험은 본사가 가입했는가? 임금은 개인 계좌로 갔는가?" 한 명이라도 빠지면 전체 직영 시공 주장이 무너집니다. 십장(자문역)이 데리고 들어온 조공, 기공도 반드시 전원 본사 명의로 이 계약서를 작성하십시오. 📌 원가 분류 및 대금 청구 시 유의사항 (D-2):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원가 항목</w:t>
            </w:r>
          </w:p>
        </w:tc>
        <w:tc>
          <w:tcPr>
            <w:tcW w:type="dxa" w:w="288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해당</w:t>
            </w:r>
          </w:p>
        </w:tc>
        <w:tc>
          <w:tcPr>
            <w:tcW w:type="dxa" w:w="288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사유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노무비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✅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직접 고용 일용직 근로자 임금 → 노무비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자재비·장비비·기타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❌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직접 고용 임금이므로 해당 없음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∴ 노무비닷컴에서 대금 청구 시 "노무비"로 분류하십시오. 임금은 근로자 본인 명의 계좌로 직접 이체하고, 노임대장에 기록, 소득세 원천징수해야 합니다.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나눔고딕" w:hAnsi="나눔고딕" w:eastAsia="나눔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