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나눔고딕" w:hAnsi="나눔고딕" w:eastAsia="나눔고딕"/>
          <w:b/>
          <w:sz w:val="32"/>
        </w:rPr>
        <w:t>기술·품질용역 위탁계약서(NDT) (C-1)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기술·품질용역 위탁계약서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위탁자(이하 "甲") O O O O (주)와 수탁자(이하 "乙") O O O O (주)는 비파괴검사 용역의 위탁에 관하여 다음과 같이 계약한다.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1. 대 상 현 장 명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 OO신축공사 현장 ]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2. 용 역 범 위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UT OOO포인트, RT OOO필름, MT OOO포인트 등 (설계도서 기준)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3. 용 역 기 간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202X년 X월 X일 ~ 202X년 X월 X일 (검사 완료 시까지)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4. 용 역 대 금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총액 금 O O O O O원정 (공급가액: ₩O,OOO,OOO / 부가세 별도)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5. 대금지불방법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성적서 접수 후 30일 이내 지정 계좌 지급 / 품목: "비파괴검사(NDT) 기술용역비"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제1조 (목적)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계약은 "甲"이 시공 중인 위 현장의 강구조물 용접 접합부를 대상으로, 용접 결함의 유무를 정밀 판별하기 위하여 "乙"에게 비파괴검사 및 그 결과 보고를 엔지니어링 용역으로서 위탁함을 목적으로 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제2조 (적용 기준 및 성적서 제출)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KBC(한국건축구조기준), KS B 0896(초음파탐상시험) 등 관련 규격을 적용한다.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검사 완료 후 7일 이내에 검사성적서 원본을 "甲"에게 서면으로 제출하여야 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제3조 (건설 시공 행위의 배제)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본 계약은 「건설기술 진흥법」 제60조에 따른 건설공사의 품질검사 (엔지니어링) 기술용역에 해당하는 순수 품질검사 용역으로서, 건설공사 하도급계약이 아님을 쌍방이 확인한다.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"乙"은 용접부 수정(가우징, 재용접 등) 및 볼팅, 이음판 교체 등 어떠한 건설 시공 및 설치 행위에도 관여하지 아니한다. (수정 시공은 전적으로 "甲" 소속 직영 인력 수행)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제4조 (검사 기한 및 재검사, 안전)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검사 요청일로부터 3영업일 이내에 검사를 완료하여야 하며, 미완료 시 "甲"은 타 업체로 대체 발주할 수 있다.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결과 이의 시 1회 무상 재검사를 실시하며, RT 방사선 촬영 시 원자력안전법 등 취급 기준을 일체 준수하여 심야(22:00 이후)에 통제하에 진행한다.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제5조 (비밀유지 및 소유권)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검사 결과 등 취득 정보 일체의 비밀 유지를 준수한다.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성적서 원본의 소유권은 "甲"에게 귀속된다.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부 칙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계약의 성립을 증명하기 위하여 본서 2부를 작성하고, 쌍방이 기명날인한 후 각 1부씩 보관한다.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년      월    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[위탁자 / 甲]</w:t>
              <w:br/>
              <w:br/>
              <w:t>상   호 : O O O O (주)</w:t>
              <w:br/>
              <w:t>주   소 :</w:t>
              <w:br/>
              <w:t>대표자 :                   (인)</w:t>
              <w:br/>
              <w:t>연락처 :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[수탁자 / 乙]</w:t>
              <w:br/>
              <w:br/>
              <w:t>상   호 : O O O O (주)</w:t>
              <w:br/>
              <w:t>주   소 :</w:t>
              <w:br/>
              <w:t>대표자 :                   (인)</w:t>
              <w:br/>
              <w:t>연락처 :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나눔고딕" w:hAnsi="나눔고딕" w:eastAsia="나눔고딕"/>
          <w:b/>
          <w:sz w:val="26"/>
        </w:rPr>
        <w:t>매뉴얼 지침 및 원가 분류 유의사항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매뉴얼 지침: NDT는 건설 시공이 아닌 품질검사 엔지니어링 용역이므로 건산법 하도급 규제와 무관합니다. 세금계산서 품목은 반드시 "철골 용접부 비파괴검사(NDT) 기술용역비"로 기재하십시오. 📌 원가 분류 및 대금 청구 시 유의사항 (C-1):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원가 항목</w:t>
            </w:r>
          </w:p>
        </w:tc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해당</w:t>
            </w:r>
          </w:p>
        </w:tc>
        <w:tc>
          <w:tcPr>
            <w:tcW w:type="dxa" w:w="2880"/>
            <w:vAlign w:val="top"/>
          </w:tcPr>
          <w:p>
            <w:pPr>
              <w:jc w:val="center"/>
            </w:pPr>
            <w:r/>
            <w:r>
              <w:rPr>
                <w:rFonts w:ascii="나눔고딕" w:hAnsi="나눔고딕" w:eastAsia="나눔고딕"/>
                <w:b/>
                <w:sz w:val="18"/>
              </w:rPr>
              <w:t>사유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기타(경비)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✅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품질검사 용역 위탁 → 경비 &gt; 시험검사비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자재비·노무비·장비비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❌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순수 기술용역 위탁이므로 해당 없음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∴ 노무비닷컴, 하도급지킴이 등에서 대금 청구 시 "기타(경비) → 시험검사비"로 분류하십시오.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나눔고딕" w:hAnsi="나눔고딕" w:eastAsia="나눔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