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외주 사급가공 계약서(자재 사급 외주) (A-2)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외주가공 계약서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(주)OOOO (이하 "발주자"라 한다)와 OOO스틸(주) (이하 "수급자"라 한다)는 "발주자"가 지급하는 원자재 및 샵드로잉(Shop DWG)에 따른 강구조물 가공제작 역무의 수행에 관하여 다음과 같이 계약한다.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"발주자"가 도급받아 수행하는 [OO신축공사] 현장에 소요되는 강구조물(철골) 부재에 대하여, "발주자"가 원자재 및 샵드로잉(Shop DWG)을 "수급자"에게 지급(사급)하고, "수급자"는 자사 공장에서 가공·조립·도장 역무를 수행하여 완성된 부재를 납품하는 조건을 규정함을 목적으로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(업무의 범위)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"수급자"가 수행하는 업무 범위는 다음 각 호에 한정한다.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"발주자" 지급 자재의 입고·검수·보관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"발주자" 지급 샵드로잉(Shop DWG)에 따른 절단(Gas/Plasma/Laser cutting)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부재의 조립(Fitting) 및 가접(Tack welding)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4. 본용접(CO₂/SAW/FCAW 등)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5. 방청도장(1차 프라이머, 중도, 상도)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6. 완성 부재의 "발주자" 지정 현장까지의 운반·납품(인도)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상기 이외의 업무(설계, 원자재 구매, 현장 설치 등)는 "발주자"가 직접 수행하며, "수급자"의 업무 범위에 포함되지 아니한다.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(시공행위 배제)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"수급자"는 납품 완료 후 당해 현장 내부에서의 철골 세우기(Erection), 볼팅, 데크플레이트 시공, 현장 용접 등 어떠한 설치 및 건설 시공 행위에도 일절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본 계약의 실질은 제조업 내 가공 도급이며, "수급자"가 자재를 직접 구매하여 완성품을 납품하는 물품 매매(A-1)와는 구별된다. 건설산업기본법에 의한 건설공사의 하도급계약이 아님을 상호 간에 확인한다.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(자재 지급(사급))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"발주자"는 원자재(형강, 철판, 볼트, 페인트 등)를 직접 구매하여 "수급자"의 공장에 인도한다.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"수급자"는 지급받은 자재를 선량한 관리자의 주의로 보관·취급하여야 하며, 잔재(殘材)는 매월 정리하여 "발주자"에게 반환한다.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자재의 망실·훼손 시 "수급자"가 시가로 변상한다.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"발주자"는 원자재 투입 시 밀시트(Mill Certificate) 및 자재시험성적서를 함께 제공한다.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(샵드로잉 지급 및 가공 기준)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"발주자"가 직접 작성한 샵드로잉(Shop DWG)을 "수급자"에게 제공한다.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"수급자"는 지급받은 도면에 따라 충실히 가공하여야 한다. 다만, 도면상 명백한 오류를 발견한 경우 "수급자"는 가공 착수 전에 "발주자"에게 서면으로 통보하여야 하며, "발주자"의 확인 없이 임의로 수정 가공하여서는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"발주자"는 납품 전 "수급자"의 제작공장에 입회하여 중간검사(치수, 용접, 도장 등)를 실시할 수 있으며, "수급자"는 이에 적극 협조하여야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(납품기일 및 지체상금)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납품기일은 202X년 X월 X일까지로 한다. 단, "발주자"의 자재 지급 지연으로 인한 납기 지연은 "수급자"의 귀책으로 보지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"수급자"의 귀책사유로 납기일이 지연될 경우, 지체일수 1일당 총 계약금액의 1,000분의 1.5에 해당하는 지체상금을 "발주자"에게 지급한다. 단, 지체상금의 누적 총액은 계약금액의 10%를 초과할 수 없다.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(계약금액 및 지급방법)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계약 대금은 가공비(절단·용접·조립·도장 역무비 + 운반비)만으로 산정하며, 자재비는 포함하지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총 가공 대금은 금 OOO원整 (부가가치세 별도)으로 한다. (또는 톤당 가공비 금 OOO원으로 산정)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세금계산서 발행 시 품목은 "강구조물 외주가공비"로 기재한다. "자재비", "현장 설치비", "시공 노무비" 등의 명목으로 기재하여서는 아니 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대금의 지급조건은 월 1회 기성(납품) 마감 후 익월 OO일에 지급함을 원칙으로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⑤ 계약금액의 5%는 하자보증금으로 유보하고, 하자담보기간(1년) 만료 후 이를 반환한다.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(검수 및 하자보증)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 즉시 "발주자"는 외관, 치수, 수량에 대해 검수를 실시한다. 하자 발견 시 "수급자"는 통보 후 14일 이내에 재가공·교환 납품한다.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재가공 소요 자재는 "발주자"가 추가 지급하되, 재가공 인건비는 "수급자"가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하자담보책임기간은 납품 완료일로부터 1년으로 하며, 가공 결함에 한해 "수급자"가 무상 재가공한다.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(계약의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다음 각 호의 사유 발생 시, "발주자"는 서면 통보로 즉시 해지할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품질 불량이 3회 이상 반복되어 시정 요구에도 개선되지 아니한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"수급자"가 지급 자재를 무단으로 타 용도에 전용한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"수급자"의 귀책으로 납기가 30일 이상 지연된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해지 시 기 수행 가공 물량에 대해 일할 정산하고, 미사용 지급 자재는 "발주자"에게 즉시 반환한다.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제10조 (불가항력)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천재지변, 감염병 대유행 등 불가항력 사유 시 지체상금 및 손해배상 책임을 면하되, 지체 없이 상대방에게 서면으로 통지하여야 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제11조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분쟁 발생 시 "발주자"의 본점 소재지를 관할하는 지방법원을 합의관할법원으로 정한다.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성립과 그 내용을 증명하기 위하여, 본 계약서 원본 2통을 작성한 후 "발주자"와 "수급자"가 서명 또는 기명날인하여 각각 1통씩 원본을 보관한다.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[발주자 / 甲]</w:t>
              <w:br/>
              <w:br/>
              <w:t>상   호 : 주식회사 OOOO</w:t>
              <w:br/>
              <w:t>주   소 : 서울특별시 OO구 OO로 OO</w:t>
              <w:br/>
              <w:t>대표자 :    홍 대 표    (인)</w:t>
              <w:br/>
              <w:t>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[수급자 / 乙]</w:t>
              <w:br/>
              <w:br/>
              <w:t>상   호 : OOO스틸 주식회사</w:t>
              <w:br/>
              <w:t>주   소 : 경기도 화성시 OO로 OO</w:t>
              <w:br/>
              <w:t>대표자 :    김 공 장    (인)</w:t>
              <w:br/>
              <w:t>연락처 : 031-987-6543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 (A-1과의 핵심 차이): A-1은 매도인이 자재를 직접 구매하여 완성품을 납품하는 물품 매매이고, A-2는 발주자(전문건설사)가 자재·DWG을 직접 제공하고 가공만 맡기는 가공 도급입니다. 따라서 대금 산정(가공비만), 세금계산서 품목, 원가 분류가 모두 다릅니다.</w:t>
      </w:r>
    </w:p>
    <w:p>
      <w:pPr>
        <w:spacing w:after="40" w:line="320" w:lineRule="exact"/>
      </w:pP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(A-2):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원자재는 발주자가 별도 구매(이미 자재비로 계상됨)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외주 공장 소속 인력 → 발주자 직접 고용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장비를 빌린 것이 아님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기타(경비)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가공 역무만 외주 → 경비 &gt; 외주가공비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"기타(경비) → 외주가공비"로 분류하십시오. 세금계산서 품목: "강구조물 외주가공비"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