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사내가공제작(사내도장) 계약서 (A-3)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사내가공제작(사내도장) 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"발주자"라 한다)와 OOO가공(주) (이하 "수급자"라 한다)는 "발주자" 소유 공장 내에서의 강구조물 가공제작 및 도장 역무의 수행에 관하여 다음과 같이 계약한다.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자체 보유한 제작공장(이하 "사내공장") 내에서, "수급자"가 특정 가공 공정(절단, 용접, 조립, 도장 등)의 역무를 수행하는 조건을 규정함을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"수급자"가 수행하는 업무 범위는 다음 각 호에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강재의 절단(Gas/Plasma/Laser cutting)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부재의 조립(Fitting) 및 가접(Tack welding)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본용접(CO₂/SAW/FCAW 등)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방청도장(1차 프라이머, 중도, 상도) 및 내화도장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5. 기타 "발주자"가 서면으로 지정하는 공장 내 부대 작업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상기 이외의 업무(설계, 샵드로잉, 원자재 구매, 현장 운반·설치 등)는 "발주자"가 직접 수행하며, "수급자"의 업무 범위에 포함되지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(계약의 법적 성격 ★건산법 방어 핵심조항)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"발주자"의 제조업 공장(사내) 내에서 수행되는 가공 도급이며, 건설현장에서 이루어지는 건설공사의 하도급이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"수급자"의 공정 수행 장소는 "발주자"의 사내공장에 한정되며, "수급자"는 건설현장에 출입하거나 현장 내에서의 시공·설치 행위에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"수급자"의 종업원은 "발주자"의 사내공장 출입 시 "발주자"가 발급하는 출입증을 패용하고, "발주자"의 공장장(또는 생산관리 책임자)의 공정 지시·품질 감독에 따른다.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(자재·설비의 제공)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가공에 필요한 원자재(강재, 볼트, 페인트 등)는 "발주자"가 직접 구매·지급하며, "수급자"는 지급 자재를 선량한 관리자의 주의로 취급하여야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절단기, 용접기, 크레인, 도장 부스 등 주요 설비는 "발주자"가 제공한다. 단, "수급자" 고유의 소형 공구·지그(Jig)류는 "수급자"가 자비로 조달한다.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"수급자"는 "발주자"의 설비를 용도 외로 사용하거나 타 업무에 전용하여서는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(품질 관리 ★전문건설사 보호조항)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"발주자"가 제시하는 시공상세도(Shop DWG), 용접절차사양서(WPS), 도장사양서에 따라 작업을 수행하여야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수시로 "수급자"의 작업 품질(용접 비드 외관, 도막 두께, 치수 정합성 등)을 검사할 수 있으며, 불합격 판정 시 "수급자"는 자기 비용으로 재작업하여야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재작업 소요 자재는 "발주자"가 추가 지급하되, 재작업 인건비는 "수급자"가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(도급 대금)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대금 산정 방식: 톤당 가공비 금 OOO원 / 또는 ㎡당 도장비 금 OOO원 (부가가치세 별도)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매월 말일 기준으로 실 가공(도장) 물량을 "발주자"의 공장장이 확인·서명한 후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품목은 "사내 가공비(또는 사내 도장비)"로 기재한다. "현장 시공비", "설치비" 등의 명목을 사용하여서는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대금은 정산 확인 후 익월 OO일에 "수급자" 지정 계좌로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(산업안전보건)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"수급자"의 종업원은 "발주자"의 사내공장 안전수칙(안전모, 보안경, 용접면, 안전화, 환기 등)을 준수하여야 하며, 입장 전 안전교육을 이수하여야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용접 흄(Fume) 및 도장 유기용제에 의한 건강 위험을 방지하기 위하여 "발주자"는 환기·집진 설비를 가동하고, "수급자"는 방독마스크 등 지정 보호구를 착용하여야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"발주자"는 산업안전보건법 제63조(도급인의 안전·보건 조치)에 따라, 사내 수급자 종업원에 대해서도 안전보건 조치를 이행한다.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산업재해 발생 시, "발주자"와 "수급자"는 산업안전보건법에 따라 각자의 책임 범위 내에서 보상 및 재발 방지 조치를 이행한다.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(비밀유지)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"수급자"는 업무 수행 중 취득한 "발주자"의 설계도면, 제작 공법, 원가 정보 등 일체의 영업비밀을 제3자에게 누설하지 아니한다. 본 의무는 계약 종료 후에도 존속한다.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(근로자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투입 인력의 채용, 급여 지급, 4대보험 가입, 퇴직금 정산 등 근로관계에 관한 일체의 사항을 자기 책임으로 처리한다.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"수급자"의 개별 종업원에 대하여 직접적인 인사권이나 징계권을 행사하지 아니한다. 단, 작업 품질 및 안전에 관한 공정 지시·감독은 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(계약 기간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계약 기간: 202X년 X월 X일 ~ 202X년 X월 X일 (물량 소진 시까지 자동 연장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다음 각 호의 사유 발생 시, "발주자"는 서면 통보로 즉시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품질 불량이 3회 이상 반복되어 시정 요구에도 개선되지 아니한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안전수칙 중대 위반(음주 작업, 무자격 용접사 투입 등)이 적발된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"수급자"의 귀책으로 공장 설비가 훼손된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해지 시 기 수행 물량에 대해 일할 정산하고, "수급자"는 해지일로부터 7일 이내에 자기 소유 공구·장비를 반출한다.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"발주자"의 본점(또는 사내공장) 소재지를 관할하는 지방법원을 합의관할법원으로 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br/>
              <w:t xml:space="preserve">                            상   호 : OOO건설 주식회사</w:t>
              <w:br/>
              <w:br/>
              <w:t xml:space="preserve">                            주   소 : 서울특별시 OO구 OO로 OO</w:t>
              <w:br/>
              <w:br/>
              <w:t xml:space="preserve">                            대표자 :    홍 대 표    (인)</w:t>
              <w:br/>
              <w:br/>
              <w:t xml:space="preserve">                            공장 소재지 : 경기도 OO시 OO산업단지 OO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[수급자 / 乙]</w:t>
              <w:br/>
              <w:br/>
              <w:br/>
              <w:t xml:space="preserve">                            상   호 : OOO가공 주식회사 (또는 OOO도장)</w:t>
              <w:br/>
              <w:br/>
              <w:t xml:space="preserve">                            주   소 : 경기도 OO시 OO구 OO로 OO</w:t>
              <w:br/>
              <w:br/>
              <w:t xml:space="preserve">                            대표자 :    박 가 공    (인)</w:t>
              <w:br/>
              <w:br/>
              <w:t xml:space="preserve">                            사업자등록번호 : 123-45-67890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 (A-2와의 차이점):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구분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A-2 외주 사급가공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A-3 사내 가공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작업 장소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외주 업체(수급자) 자체 공장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전문건설사 자체 공장(사내)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설비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수급자 자체 설비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발주자 설비 사용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품질 감독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입회검사(방문)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상시 현장 감독(공장장)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산업안전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수급자 자체 관리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산안법 제63조 적용(도급인 의무)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원가 분류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동일: 기타(경비) → 외주가공비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동일: 기타(경비) → 외주가공비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사내 가공의 핵심은 ①자재·설비 모두 전문건설사 소유 ②가공업체는 역무(기술+노동력)만 제공 ③건설현장이 아닌 공장 내 작업이라는 점입니다. 세금계산서에 "현장 설치비"가 아닌 "사내 가공비/사내 도장비"로 기재하십시오.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 여부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자재는 발주자가 직접 구매·지급(사급)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가공업체 소속 인력 → 발주자 직접 고용이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장비·설비는 발주자 소유, 임대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경비 &gt; 외주가공비 항목으로 분류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반드시 "기타(경비) → 외주가공비"로 분류하십시오. 노무비로 잡으면 "실질적으로 직접 고용한 것 아닌가?" → 위장 도급/불법파견 논란이 발생할 수 있습니다.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⚠️ 참고: 사내 가공은 제조업 내 도급이므로 건산법 하도급이 아닙니다. 원청이 하도급지킴이 등록을 요구하는 경우, "본건은 건설현장이 아닌 사내공장 가공 도급이므로 건산법 하도급 미해당"을 소명하시기 바랍니다.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