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D5" w:rsidRDefault="00520C2E" w:rsidP="00BC0DFF">
      <w:pPr>
        <w:shd w:val="clear" w:color="auto" w:fill="FFFF47"/>
        <w:jc w:val="center"/>
        <w:rPr>
          <w:b/>
          <w:i/>
          <w:sz w:val="36"/>
          <w:szCs w:val="36"/>
        </w:rPr>
      </w:pPr>
      <w:bookmarkStart w:id="0" w:name="_GoBack"/>
      <w:bookmarkEnd w:id="0"/>
      <w:r w:rsidRPr="00520C2E">
        <w:rPr>
          <w:b/>
          <w:i/>
          <w:sz w:val="36"/>
          <w:szCs w:val="36"/>
        </w:rPr>
        <w:t xml:space="preserve">The World of </w:t>
      </w:r>
      <w:r w:rsidR="000B1F0E">
        <w:rPr>
          <w:b/>
          <w:i/>
          <w:sz w:val="36"/>
          <w:szCs w:val="36"/>
        </w:rPr>
        <w:t>Sustainability</w:t>
      </w:r>
      <w:r w:rsidR="00DB576C">
        <w:rPr>
          <w:b/>
          <w:i/>
          <w:sz w:val="36"/>
          <w:szCs w:val="36"/>
        </w:rPr>
        <w:t xml:space="preserve"> and the Environment</w:t>
      </w:r>
    </w:p>
    <w:p w:rsidR="000B1F0E" w:rsidRDefault="00BC0DFF" w:rsidP="00BC0DFF">
      <w:pPr>
        <w:shd w:val="clear" w:color="auto" w:fill="FFFF47"/>
        <w:jc w:val="center"/>
      </w:pPr>
      <w:r>
        <w:t xml:space="preserve">Designed </w:t>
      </w:r>
      <w:r w:rsidR="000B1F0E">
        <w:t>for studen</w:t>
      </w:r>
      <w:r>
        <w:t>ts from any major interested in</w:t>
      </w:r>
      <w:r w:rsidR="000B1F0E">
        <w:t xml:space="preserve"> the environment</w:t>
      </w:r>
      <w:r w:rsidR="00DB576C">
        <w:t>.</w:t>
      </w:r>
      <w:r>
        <w:t xml:space="preserve"> </w:t>
      </w:r>
    </w:p>
    <w:p w:rsidR="00520C2E" w:rsidRDefault="00BC0DFF" w:rsidP="00BC0DFF">
      <w:pPr>
        <w:shd w:val="clear" w:color="auto" w:fill="FFFF47"/>
        <w:jc w:val="center"/>
      </w:pPr>
      <w:r>
        <w:t>Freshmen only</w:t>
      </w:r>
      <w:r w:rsidR="004665D4">
        <w:t>.</w:t>
      </w:r>
    </w:p>
    <w:p w:rsidR="00101CD4" w:rsidRDefault="00101CD4" w:rsidP="00101CD4">
      <w:pPr>
        <w:pStyle w:val="NoSpacing"/>
      </w:pPr>
    </w:p>
    <w:p w:rsidR="00520C2E" w:rsidRDefault="00103561" w:rsidP="00520C2E">
      <w:r>
        <w:rPr>
          <w:color w:val="000000"/>
          <w:sz w:val="14"/>
          <w:szCs w:val="14"/>
        </w:rPr>
        <w:t xml:space="preserve"> </w:t>
      </w:r>
      <w:r>
        <w:rPr>
          <w:noProof/>
          <w:color w:val="000000"/>
          <w:sz w:val="14"/>
          <w:szCs w:val="14"/>
        </w:rPr>
        <w:drawing>
          <wp:inline distT="0" distB="0" distL="0" distR="0">
            <wp:extent cx="2543175" cy="1371600"/>
            <wp:effectExtent l="19050" t="0" r="9525" b="0"/>
            <wp:docPr id="29" name="Picture 29" descr="http://www.albany.edu/gogreen/images/expertiseatUalb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albany.edu/gogreen/images/expertiseatUalbany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042B">
        <w:rPr>
          <w:color w:val="000000"/>
          <w:sz w:val="14"/>
          <w:szCs w:val="14"/>
        </w:rPr>
        <w:t xml:space="preserve">  </w:t>
      </w:r>
      <w:r>
        <w:rPr>
          <w:noProof/>
        </w:rPr>
        <w:drawing>
          <wp:inline distT="0" distB="0" distL="0" distR="0">
            <wp:extent cx="1381125" cy="1371600"/>
            <wp:effectExtent l="19050" t="0" r="952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14"/>
          <w:szCs w:val="14"/>
        </w:rPr>
        <w:t xml:space="preserve"> </w:t>
      </w:r>
      <w:r>
        <w:rPr>
          <w:rFonts w:ascii="Verdana" w:hAnsi="Verdana"/>
          <w:noProof/>
          <w:color w:val="9A211E"/>
          <w:sz w:val="14"/>
          <w:szCs w:val="14"/>
        </w:rPr>
        <w:drawing>
          <wp:inline distT="0" distB="0" distL="0" distR="0">
            <wp:extent cx="1800225" cy="1371600"/>
            <wp:effectExtent l="19050" t="0" r="9525" b="0"/>
            <wp:docPr id="2" name="Picture 2" descr="Recycling Scorecar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ing Scorecard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DFF" w:rsidRDefault="00BC0DFF" w:rsidP="00520C2E"/>
    <w:p w:rsidR="00FD7A64" w:rsidRDefault="00FD7A64" w:rsidP="00FD7A64">
      <w:pPr>
        <w:shd w:val="clear" w:color="auto" w:fill="CC99FF"/>
        <w:rPr>
          <w:b/>
          <w:i/>
        </w:rPr>
      </w:pPr>
      <w:r>
        <w:rPr>
          <w:b/>
        </w:rPr>
        <w:t>University at Albany Living-Learning Communities</w:t>
      </w:r>
      <w:r>
        <w:t xml:space="preserve">:  </w:t>
      </w:r>
      <w:r>
        <w:rPr>
          <w:b/>
          <w:i/>
        </w:rPr>
        <w:t>Students who live together, take 2 or more theme-related classes each semester, and desire to be engaged in and out of the classroom.</w:t>
      </w:r>
    </w:p>
    <w:p w:rsidR="00BC0DFF" w:rsidRDefault="00BC0DFF" w:rsidP="00520C2E"/>
    <w:p w:rsidR="00520C2E" w:rsidRDefault="00BC0DFF" w:rsidP="00520C2E">
      <w:r>
        <w:t xml:space="preserve">The University at </w:t>
      </w:r>
      <w:smartTag w:uri="urn:schemas-microsoft-com:office:smarttags" w:element="City">
        <w:smartTag w:uri="urn:schemas-microsoft-com:office:smarttags" w:element="place">
          <w:r>
            <w:t>Albany</w:t>
          </w:r>
        </w:smartTag>
      </w:smartTag>
      <w:r>
        <w:t xml:space="preserve"> is pleased to offer </w:t>
      </w:r>
      <w:r w:rsidR="002C1CBB">
        <w:t>Living-Learning</w:t>
      </w:r>
      <w:r>
        <w:t xml:space="preserve"> Communities (</w:t>
      </w:r>
      <w:r w:rsidR="002C1CBB">
        <w:t>L-LC</w:t>
      </w:r>
      <w:r w:rsidR="00F04CE2">
        <w:t xml:space="preserve">s) to our incoming freshmen. </w:t>
      </w:r>
      <w:r w:rsidR="002C1CBB">
        <w:t>L-LC</w:t>
      </w:r>
      <w:r>
        <w:t xml:space="preserve">s provide students </w:t>
      </w:r>
      <w:r w:rsidR="00FD7A64">
        <w:t xml:space="preserve">with </w:t>
      </w:r>
      <w:r>
        <w:t>the opportunity to m</w:t>
      </w:r>
      <w:r w:rsidR="004665D4">
        <w:t>eet like-minded students, live i</w:t>
      </w:r>
      <w:r>
        <w:t xml:space="preserve">n the same residence hall, take classes </w:t>
      </w:r>
      <w:r w:rsidR="002A5E45">
        <w:t xml:space="preserve">with students who share similar academic </w:t>
      </w:r>
      <w:r w:rsidR="000D09BE">
        <w:t>goals</w:t>
      </w:r>
      <w:r>
        <w:t xml:space="preserve">, </w:t>
      </w:r>
      <w:r w:rsidR="00FD7A64">
        <w:t xml:space="preserve">and </w:t>
      </w:r>
      <w:r>
        <w:t>meet faculty and upper class s</w:t>
      </w:r>
      <w:r w:rsidR="00FD7A64">
        <w:t>tudents who study in the field.</w:t>
      </w:r>
    </w:p>
    <w:p w:rsidR="007A17F5" w:rsidRDefault="007A17F5" w:rsidP="007A17F5">
      <w:pPr>
        <w:pStyle w:val="NoSpacing"/>
        <w:spacing w:line="120" w:lineRule="auto"/>
      </w:pPr>
    </w:p>
    <w:p w:rsidR="00520C2E" w:rsidRDefault="00520C2E" w:rsidP="00520C2E">
      <w:pPr>
        <w:rPr>
          <w:b/>
        </w:rPr>
      </w:pPr>
      <w:r w:rsidRPr="00520C2E">
        <w:rPr>
          <w:b/>
        </w:rPr>
        <w:t xml:space="preserve">Some of the things you will do as a member of </w:t>
      </w:r>
      <w:r w:rsidRPr="008A6BE6">
        <w:rPr>
          <w:b/>
          <w:i/>
          <w:sz w:val="32"/>
          <w:szCs w:val="32"/>
        </w:rPr>
        <w:t>The World of</w:t>
      </w:r>
      <w:r w:rsidR="000B1F0E">
        <w:rPr>
          <w:b/>
          <w:i/>
          <w:sz w:val="32"/>
          <w:szCs w:val="32"/>
        </w:rPr>
        <w:t xml:space="preserve"> Sustainability</w:t>
      </w:r>
      <w:r>
        <w:rPr>
          <w:b/>
        </w:rPr>
        <w:t>:</w:t>
      </w:r>
    </w:p>
    <w:p w:rsidR="000B1F0E" w:rsidRDefault="000B1F0E" w:rsidP="000B1F0E">
      <w:pPr>
        <w:numPr>
          <w:ilvl w:val="0"/>
          <w:numId w:val="5"/>
        </w:numPr>
      </w:pPr>
      <w:r w:rsidRPr="00192002">
        <w:t xml:space="preserve">Live </w:t>
      </w:r>
      <w:r>
        <w:t xml:space="preserve">on Indian Quad </w:t>
      </w:r>
      <w:r w:rsidRPr="00192002">
        <w:t xml:space="preserve">with other </w:t>
      </w:r>
      <w:r>
        <w:t>students</w:t>
      </w:r>
      <w:r w:rsidR="007A17F5">
        <w:t xml:space="preserve"> interested in sustainability. </w:t>
      </w:r>
      <w:r>
        <w:t>Students will take classes designed to increase their know</w:t>
      </w:r>
      <w:r w:rsidR="00DB576C">
        <w:t>ledge on sustainability topics like biodiversity, climate change, urban sprawl, and local/organic food</w:t>
      </w:r>
    </w:p>
    <w:p w:rsidR="00E667FE" w:rsidRDefault="00E667FE" w:rsidP="000B1F0E">
      <w:pPr>
        <w:numPr>
          <w:ilvl w:val="0"/>
          <w:numId w:val="5"/>
        </w:numPr>
      </w:pPr>
      <w:r>
        <w:t>Take some classes with other L-LC students:</w:t>
      </w:r>
    </w:p>
    <w:p w:rsidR="000B1F0E" w:rsidRDefault="000B1F0E" w:rsidP="00E667FE">
      <w:pPr>
        <w:numPr>
          <w:ilvl w:val="1"/>
          <w:numId w:val="7"/>
        </w:numPr>
      </w:pPr>
      <w:r>
        <w:t xml:space="preserve">Fall </w:t>
      </w:r>
      <w:r w:rsidR="002C1CBB">
        <w:t>L-LC</w:t>
      </w:r>
      <w:r>
        <w:t xml:space="preserve"> classes:  UFSP100 (Fres</w:t>
      </w:r>
      <w:r w:rsidR="00BC0DFF">
        <w:t>hman seminar in Sustainability)</w:t>
      </w:r>
      <w:r>
        <w:t xml:space="preserve"> and AENV 105 (Introduction to Environmental Scien</w:t>
      </w:r>
      <w:r w:rsidR="00E667FE">
        <w:t xml:space="preserve">ce);  </w:t>
      </w:r>
      <w:r>
        <w:t xml:space="preserve">Spring </w:t>
      </w:r>
      <w:r w:rsidR="002C1CBB">
        <w:t>L-LC</w:t>
      </w:r>
      <w:r>
        <w:t xml:space="preserve"> classes:  AATM 102 (Science and Major Environmental Issues) </w:t>
      </w:r>
      <w:r w:rsidR="00BC0DFF">
        <w:t>and</w:t>
      </w:r>
      <w:r w:rsidR="006377E4">
        <w:t xml:space="preserve"> APLN 220 (Introductory Urban Planning</w:t>
      </w:r>
      <w:r w:rsidR="005C2C91">
        <w:t>)</w:t>
      </w:r>
    </w:p>
    <w:p w:rsidR="000B1F0E" w:rsidRPr="00192002" w:rsidRDefault="000B1F0E" w:rsidP="000B1F0E">
      <w:pPr>
        <w:numPr>
          <w:ilvl w:val="0"/>
          <w:numId w:val="5"/>
        </w:numPr>
      </w:pPr>
      <w:r w:rsidRPr="00192002">
        <w:t xml:space="preserve">Have lunch with </w:t>
      </w:r>
      <w:r>
        <w:t xml:space="preserve">your UFSP 100 professor </w:t>
      </w:r>
      <w:r w:rsidRPr="00192002">
        <w:t>to</w:t>
      </w:r>
      <w:r>
        <w:t xml:space="preserve"> </w:t>
      </w:r>
      <w:r w:rsidRPr="00192002">
        <w:t>discu</w:t>
      </w:r>
      <w:r>
        <w:t>ss class assignments and related</w:t>
      </w:r>
      <w:r w:rsidRPr="00192002">
        <w:t xml:space="preserve"> topics</w:t>
      </w:r>
    </w:p>
    <w:p w:rsidR="000B1F0E" w:rsidRDefault="000B1F0E" w:rsidP="000B1F0E">
      <w:pPr>
        <w:numPr>
          <w:ilvl w:val="0"/>
          <w:numId w:val="5"/>
        </w:numPr>
      </w:pPr>
      <w:r>
        <w:t>Meet members of University at Albany Sustainability Council</w:t>
      </w:r>
      <w:r w:rsidR="005C2C91">
        <w:t>,</w:t>
      </w:r>
      <w:r>
        <w:t xml:space="preserve"> Net Impact</w:t>
      </w:r>
      <w:r w:rsidR="005C2C91">
        <w:t xml:space="preserve">, </w:t>
      </w:r>
      <w:r>
        <w:t>Campus Greens, NYPIRG, UAlb</w:t>
      </w:r>
      <w:r w:rsidR="005C2C91">
        <w:t>any Students for Sustainability</w:t>
      </w:r>
    </w:p>
    <w:p w:rsidR="000B1F0E" w:rsidRDefault="000B1F0E" w:rsidP="000B1F0E">
      <w:pPr>
        <w:numPr>
          <w:ilvl w:val="0"/>
          <w:numId w:val="5"/>
        </w:numPr>
      </w:pPr>
      <w:r>
        <w:t>Work with UAlbany</w:t>
      </w:r>
      <w:r w:rsidR="00E667FE">
        <w:t>’s</w:t>
      </w:r>
      <w:r>
        <w:t xml:space="preserve"> Director of Sustainability to develop and implement student-based sustainability initiatives</w:t>
      </w:r>
      <w:r w:rsidR="00BC0DFF">
        <w:t xml:space="preserve"> for the UAlbany campus</w:t>
      </w:r>
    </w:p>
    <w:p w:rsidR="000B1F0E" w:rsidRDefault="000B1F0E" w:rsidP="000B1F0E">
      <w:pPr>
        <w:numPr>
          <w:ilvl w:val="0"/>
          <w:numId w:val="5"/>
        </w:numPr>
      </w:pPr>
      <w:r>
        <w:t xml:space="preserve">Attend guest lectures and meet leaders and students from other </w:t>
      </w:r>
      <w:r w:rsidR="007A17F5">
        <w:t xml:space="preserve">schools </w:t>
      </w:r>
      <w:r>
        <w:t>making a difference in such areas as biodiversity conservation, natural resources manageme</w:t>
      </w:r>
      <w:r w:rsidR="00E667FE">
        <w:t>nt, and sustainable agriculture</w:t>
      </w:r>
    </w:p>
    <w:p w:rsidR="000B1F0E" w:rsidRDefault="000B1F0E" w:rsidP="000B1F0E">
      <w:pPr>
        <w:numPr>
          <w:ilvl w:val="0"/>
          <w:numId w:val="5"/>
        </w:numPr>
      </w:pPr>
      <w:r>
        <w:t xml:space="preserve">Learn about the impact of food production on the environment </w:t>
      </w:r>
    </w:p>
    <w:p w:rsidR="0042042B" w:rsidRDefault="00EA0F60" w:rsidP="0042042B">
      <w:pPr>
        <w:numPr>
          <w:ilvl w:val="0"/>
          <w:numId w:val="5"/>
        </w:numPr>
      </w:pPr>
      <w:r>
        <w:t>A</w:t>
      </w:r>
      <w:r w:rsidR="000B1F0E">
        <w:t>ctively</w:t>
      </w:r>
      <w:r w:rsidR="000B1F0E" w:rsidRPr="00192002">
        <w:t xml:space="preserve"> participate in </w:t>
      </w:r>
      <w:r w:rsidR="000B1F0E">
        <w:t xml:space="preserve">the </w:t>
      </w:r>
      <w:r w:rsidR="002C1CBB">
        <w:t>L-LC</w:t>
      </w:r>
      <w:r w:rsidR="000B1F0E">
        <w:t xml:space="preserve"> </w:t>
      </w:r>
      <w:r w:rsidR="000B1F0E" w:rsidRPr="00192002">
        <w:t>events offe</w:t>
      </w:r>
      <w:r w:rsidR="000B1F0E">
        <w:t>r</w:t>
      </w:r>
      <w:r w:rsidR="00E667FE">
        <w:t>ed throughout the academic year</w:t>
      </w:r>
    </w:p>
    <w:p w:rsidR="00840FE0" w:rsidRDefault="00DD63A7" w:rsidP="00840FE0">
      <w:pPr>
        <w:spacing w:line="60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158115</wp:posOffset>
                </wp:positionV>
                <wp:extent cx="3194050" cy="977265"/>
                <wp:effectExtent l="12700" t="5715" r="1270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90" w:rsidRDefault="00101C90">
                            <w:r>
                              <w:t>“This was a great program to start off my college experience.  Having some of the same professors and classes</w:t>
                            </w:r>
                            <w:r w:rsidR="004665D4">
                              <w:t xml:space="preserve"> meant we could study together i</w:t>
                            </w:r>
                            <w:r>
                              <w:t>n the Residence Hall.”</w:t>
                            </w:r>
                          </w:p>
                          <w:p w:rsidR="00101C90" w:rsidRDefault="004665D4" w:rsidP="00EA0F60">
                            <w:pPr>
                              <w:ind w:firstLine="720"/>
                            </w:pPr>
                            <w:r>
                              <w:tab/>
                              <w:t>~ LLC students, C</w:t>
                            </w:r>
                            <w:r w:rsidR="00101C90">
                              <w:t>lass of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3pt;margin-top:12.45pt;width:251.5pt;height:76.9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">
                <v:textbox style="mso-fit-shape-to-text:t">
                  <w:txbxContent>
                    <w:p w:rsidR="00101C90" w:rsidRDefault="00101C90">
                      <w:r>
                        <w:t>“This was a great program to start off my college experience.  Having some of the same professors and classes</w:t>
                      </w:r>
                      <w:r w:rsidR="004665D4">
                        <w:t xml:space="preserve"> meant we could study together i</w:t>
                      </w:r>
                      <w:r>
                        <w:t>n the Residence Hall.”</w:t>
                      </w:r>
                    </w:p>
                    <w:p w:rsidR="00101C90" w:rsidRDefault="004665D4" w:rsidP="00EA0F60">
                      <w:pPr>
                        <w:ind w:firstLine="720"/>
                      </w:pPr>
                      <w:r>
                        <w:tab/>
                        <w:t>~ LLC students, C</w:t>
                      </w:r>
                      <w:r w:rsidR="00101C90">
                        <w:t>lass of 2014</w:t>
                      </w:r>
                    </w:p>
                  </w:txbxContent>
                </v:textbox>
              </v:shape>
            </w:pict>
          </mc:Fallback>
        </mc:AlternateContent>
      </w:r>
      <w:r w:rsidR="00103561">
        <w:rPr>
          <w:noProof/>
        </w:rPr>
        <w:drawing>
          <wp:inline distT="0" distB="0" distL="0" distR="0">
            <wp:extent cx="1800225" cy="1276350"/>
            <wp:effectExtent l="19050" t="0" r="9525" b="0"/>
            <wp:docPr id="131" name="Picture 131" descr="http://www.albany.edu/gogreen/images/reverse_ven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albany.edu/gogreen/images/reverse_vending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2E" w:rsidRPr="007A17F5" w:rsidRDefault="00B2133A" w:rsidP="00840FE0">
      <w:pPr>
        <w:ind w:left="360"/>
      </w:pPr>
      <w:r>
        <w:rPr>
          <w:b/>
          <w:sz w:val="22"/>
          <w:szCs w:val="22"/>
        </w:rPr>
        <w:lastRenderedPageBreak/>
        <w:t xml:space="preserve">Responsibilities </w:t>
      </w:r>
      <w:r w:rsidR="00520C2E" w:rsidRPr="00520C2E">
        <w:rPr>
          <w:b/>
          <w:sz w:val="22"/>
          <w:szCs w:val="22"/>
        </w:rPr>
        <w:t xml:space="preserve">of being in a </w:t>
      </w:r>
      <w:r w:rsidR="002C1CBB">
        <w:rPr>
          <w:b/>
          <w:sz w:val="22"/>
          <w:szCs w:val="22"/>
        </w:rPr>
        <w:t>Living-Learning</w:t>
      </w:r>
      <w:r>
        <w:rPr>
          <w:b/>
          <w:sz w:val="22"/>
          <w:szCs w:val="22"/>
        </w:rPr>
        <w:t xml:space="preserve"> Community:</w:t>
      </w:r>
    </w:p>
    <w:p w:rsidR="00FD7A64" w:rsidRPr="00FD7A64" w:rsidRDefault="00FD7A64" w:rsidP="00FD7A64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Students must register for the </w:t>
      </w:r>
      <w:r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classes.  While there may be extenuating circumstances, students are not expected to drop their </w:t>
      </w:r>
      <w:r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classes.  Students are encouraged to work closely with their advisor on their academic schedules.</w:t>
      </w:r>
    </w:p>
    <w:p w:rsidR="00BC0DFF" w:rsidRPr="00520C2E" w:rsidRDefault="00BC0DFF" w:rsidP="00BC0DFF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Students participate in programming with the </w:t>
      </w:r>
      <w:r w:rsidR="002C1CBB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de</w:t>
      </w:r>
      <w:r w:rsidR="00FD7A64">
        <w:rPr>
          <w:sz w:val="22"/>
          <w:szCs w:val="22"/>
        </w:rPr>
        <w:t xml:space="preserve">signed to explore the topic or </w:t>
      </w:r>
      <w:r w:rsidRPr="00520C2E">
        <w:rPr>
          <w:sz w:val="22"/>
          <w:szCs w:val="22"/>
        </w:rPr>
        <w:t>t</w:t>
      </w:r>
      <w:r w:rsidR="00FD7A64">
        <w:rPr>
          <w:sz w:val="22"/>
          <w:szCs w:val="22"/>
        </w:rPr>
        <w:t>heme</w:t>
      </w:r>
      <w:r w:rsidRPr="00520C2E">
        <w:rPr>
          <w:sz w:val="22"/>
          <w:szCs w:val="22"/>
        </w:rPr>
        <w:t xml:space="preserve">.  These often include meetings with faculty members and guest speakers, occasionally eating meals with the professors, </w:t>
      </w:r>
      <w:r w:rsidR="00FD7A64">
        <w:rPr>
          <w:sz w:val="22"/>
          <w:szCs w:val="22"/>
        </w:rPr>
        <w:t xml:space="preserve">and </w:t>
      </w:r>
      <w:r w:rsidRPr="00520C2E">
        <w:rPr>
          <w:sz w:val="22"/>
          <w:szCs w:val="22"/>
        </w:rPr>
        <w:t>meeting with upper class students who share the interest or major (usually through a variety of student clubs and organizations).</w:t>
      </w:r>
    </w:p>
    <w:p w:rsidR="00B2133A" w:rsidRPr="005C2C91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C2C91">
        <w:rPr>
          <w:sz w:val="22"/>
          <w:szCs w:val="22"/>
        </w:rPr>
        <w:t xml:space="preserve">Students in each </w:t>
      </w:r>
      <w:r w:rsidR="002C1CBB">
        <w:rPr>
          <w:sz w:val="22"/>
          <w:szCs w:val="22"/>
        </w:rPr>
        <w:t>L-LC</w:t>
      </w:r>
      <w:r w:rsidRPr="005C2C91">
        <w:rPr>
          <w:sz w:val="22"/>
          <w:szCs w:val="22"/>
        </w:rPr>
        <w:t xml:space="preserve"> are expected to participate in the out-of-class programs.  </w:t>
      </w:r>
    </w:p>
    <w:p w:rsidR="00101CD4" w:rsidRPr="00840FE0" w:rsidRDefault="00520C2E" w:rsidP="00101CD4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Each </w:t>
      </w:r>
      <w:r w:rsidR="002C1CBB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 is expected to participate in at least one community service</w:t>
      </w:r>
      <w:r w:rsidR="00BC0DFF">
        <w:rPr>
          <w:sz w:val="22"/>
          <w:szCs w:val="22"/>
        </w:rPr>
        <w:t xml:space="preserve"> project</w:t>
      </w:r>
      <w:r w:rsidRPr="00520C2E">
        <w:rPr>
          <w:sz w:val="22"/>
          <w:szCs w:val="22"/>
        </w:rPr>
        <w:t xml:space="preserve"> each semester.</w:t>
      </w:r>
    </w:p>
    <w:p w:rsidR="00101CD4" w:rsidRPr="00520C2E" w:rsidRDefault="00101CD4" w:rsidP="00101CD4">
      <w:pPr>
        <w:rPr>
          <w:sz w:val="22"/>
          <w:szCs w:val="22"/>
        </w:rPr>
      </w:pPr>
    </w:p>
    <w:p w:rsidR="00520C2E" w:rsidRDefault="00103561" w:rsidP="00520C2E">
      <w:r>
        <w:rPr>
          <w:noProof/>
        </w:rPr>
        <w:drawing>
          <wp:inline distT="0" distB="0" distL="0" distR="0">
            <wp:extent cx="1819275" cy="1362075"/>
            <wp:effectExtent l="19050" t="0" r="9525" b="0"/>
            <wp:docPr id="139" name="Picture 139" descr="biodegrad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biodegradable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CD4">
        <w:t xml:space="preserve"> </w:t>
      </w:r>
      <w:r>
        <w:rPr>
          <w:rFonts w:ascii="Verdana" w:hAnsi="Verdana"/>
          <w:noProof/>
          <w:color w:val="000000"/>
          <w:sz w:val="14"/>
          <w:szCs w:val="14"/>
        </w:rPr>
        <w:drawing>
          <wp:inline distT="0" distB="0" distL="0" distR="0">
            <wp:extent cx="2047875" cy="1371600"/>
            <wp:effectExtent l="19050" t="0" r="9525" b="0"/>
            <wp:docPr id="135" name="Picture 135" descr="Handing CFL to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anding CFL to student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CD4">
        <w:t xml:space="preserve"> </w:t>
      </w:r>
      <w:r>
        <w:rPr>
          <w:noProof/>
        </w:rPr>
        <w:drawing>
          <wp:inline distT="0" distB="0" distL="0" distR="0">
            <wp:extent cx="1819275" cy="1362075"/>
            <wp:effectExtent l="19050" t="0" r="9525" b="0"/>
            <wp:docPr id="152" name="Picture 152" descr="http://www.albany.edu/gogreen/images/council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albany.edu/gogreen/images/council2011.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1CD4">
        <w:t xml:space="preserve">                                                       </w:t>
      </w:r>
    </w:p>
    <w:p w:rsidR="00101CD4" w:rsidRPr="00520C2E" w:rsidRDefault="00101CD4" w:rsidP="00520C2E">
      <w:pPr>
        <w:rPr>
          <w:sz w:val="22"/>
          <w:szCs w:val="22"/>
        </w:rPr>
      </w:pPr>
    </w:p>
    <w:p w:rsidR="00520C2E" w:rsidRPr="00520C2E" w:rsidRDefault="00520C2E" w:rsidP="00520C2E">
      <w:pPr>
        <w:rPr>
          <w:b/>
          <w:sz w:val="22"/>
          <w:szCs w:val="22"/>
        </w:rPr>
      </w:pPr>
      <w:r w:rsidRPr="00520C2E">
        <w:rPr>
          <w:b/>
          <w:sz w:val="22"/>
          <w:szCs w:val="22"/>
        </w:rPr>
        <w:t>How do I apply / join?</w:t>
      </w:r>
    </w:p>
    <w:p w:rsidR="00520C2E" w:rsidRPr="001A79EF" w:rsidRDefault="00520C2E" w:rsidP="00520C2E">
      <w:pPr>
        <w:numPr>
          <w:ilvl w:val="0"/>
          <w:numId w:val="1"/>
        </w:numPr>
        <w:rPr>
          <w:b/>
          <w:sz w:val="22"/>
          <w:szCs w:val="22"/>
        </w:rPr>
      </w:pPr>
      <w:r w:rsidRPr="001A79EF">
        <w:rPr>
          <w:b/>
          <w:sz w:val="22"/>
          <w:szCs w:val="22"/>
        </w:rPr>
        <w:t xml:space="preserve">Students apply for </w:t>
      </w:r>
      <w:r w:rsidR="002C1CBB">
        <w:rPr>
          <w:b/>
          <w:sz w:val="22"/>
          <w:szCs w:val="22"/>
        </w:rPr>
        <w:t>L-LC</w:t>
      </w:r>
      <w:r w:rsidRPr="001A79EF">
        <w:rPr>
          <w:b/>
          <w:sz w:val="22"/>
          <w:szCs w:val="22"/>
        </w:rPr>
        <w:t>s when they pay their housing deposit and apply for housing.</w:t>
      </w:r>
    </w:p>
    <w:p w:rsidR="001A79EF" w:rsidRPr="00520C2E" w:rsidRDefault="001A79EF" w:rsidP="001A79EF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When registering for housing, students must note their interest in the appropriate </w:t>
      </w:r>
      <w:r w:rsidR="002C1CBB">
        <w:rPr>
          <w:sz w:val="22"/>
          <w:szCs w:val="22"/>
        </w:rPr>
        <w:t>L-LC</w:t>
      </w:r>
      <w:r w:rsidRPr="00520C2E">
        <w:rPr>
          <w:sz w:val="22"/>
          <w:szCs w:val="22"/>
        </w:rPr>
        <w:t>(s).  Students can designate both a first choice and second choice option.</w:t>
      </w:r>
    </w:p>
    <w:p w:rsidR="001A79EF" w:rsidRPr="00520C2E" w:rsidRDefault="002C1CBB" w:rsidP="001A79E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>s will be filled on a first come, first serve basis.  Applicants will be notified by July 1</w:t>
      </w:r>
      <w:r w:rsidR="001A79EF" w:rsidRPr="00520C2E">
        <w:rPr>
          <w:sz w:val="22"/>
          <w:szCs w:val="22"/>
          <w:vertAlign w:val="superscript"/>
        </w:rPr>
        <w:t>st</w:t>
      </w:r>
      <w:r w:rsidR="00BC0DFF">
        <w:rPr>
          <w:sz w:val="22"/>
          <w:szCs w:val="22"/>
        </w:rPr>
        <w:t xml:space="preserve"> if they have</w:t>
      </w:r>
      <w:r w:rsidR="001A79EF" w:rsidRPr="00520C2E">
        <w:rPr>
          <w:sz w:val="22"/>
          <w:szCs w:val="22"/>
        </w:rPr>
        <w:t xml:space="preserve"> been accepted into the </w:t>
      </w: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 xml:space="preserve">.  Once the </w:t>
      </w:r>
      <w:r>
        <w:rPr>
          <w:sz w:val="22"/>
          <w:szCs w:val="22"/>
        </w:rPr>
        <w:t>L-LC</w:t>
      </w:r>
      <w:r w:rsidR="001A79EF" w:rsidRPr="00520C2E">
        <w:rPr>
          <w:sz w:val="22"/>
          <w:szCs w:val="22"/>
        </w:rPr>
        <w:t xml:space="preserve"> is filled, students will be placed on a waiting list and notified</w:t>
      </w:r>
      <w:r w:rsidR="00E667FE">
        <w:rPr>
          <w:sz w:val="22"/>
          <w:szCs w:val="22"/>
        </w:rPr>
        <w:t xml:space="preserve"> if space becomes available</w:t>
      </w:r>
      <w:r w:rsidR="001A79EF" w:rsidRPr="00520C2E">
        <w:rPr>
          <w:sz w:val="22"/>
          <w:szCs w:val="22"/>
        </w:rPr>
        <w:t xml:space="preserve">. </w:t>
      </w:r>
    </w:p>
    <w:p w:rsidR="00520C2E" w:rsidRPr="00520C2E" w:rsidRDefault="008A6BE6" w:rsidP="008A6BE6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 student</w:t>
      </w:r>
      <w:r w:rsidR="00BC0DFF">
        <w:rPr>
          <w:sz w:val="22"/>
          <w:szCs w:val="22"/>
        </w:rPr>
        <w:t xml:space="preserve">s requesting a </w:t>
      </w:r>
      <w:r w:rsidR="002C1CBB">
        <w:rPr>
          <w:sz w:val="22"/>
          <w:szCs w:val="22"/>
        </w:rPr>
        <w:t>roommate</w:t>
      </w:r>
      <w:r w:rsidR="00BC0DFF">
        <w:rPr>
          <w:sz w:val="22"/>
          <w:szCs w:val="22"/>
        </w:rPr>
        <w:t>:   BOTH</w:t>
      </w:r>
      <w:r>
        <w:rPr>
          <w:sz w:val="22"/>
          <w:szCs w:val="22"/>
        </w:rPr>
        <w:t xml:space="preserve"> students </w:t>
      </w:r>
      <w:r w:rsidR="00520C2E" w:rsidRPr="00520C2E">
        <w:rPr>
          <w:sz w:val="22"/>
          <w:szCs w:val="22"/>
        </w:rPr>
        <w:t xml:space="preserve">MUST also apply for the same </w:t>
      </w:r>
      <w:r w:rsidR="002C1CBB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.  </w:t>
      </w:r>
    </w:p>
    <w:p w:rsidR="00520C2E" w:rsidRPr="00520C2E" w:rsidRDefault="008A6BE6" w:rsidP="00520C2E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 students requesting a</w:t>
      </w:r>
      <w:r w:rsidR="00520C2E" w:rsidRPr="00520C2E">
        <w:rPr>
          <w:sz w:val="22"/>
          <w:szCs w:val="22"/>
        </w:rPr>
        <w:t xml:space="preserve"> </w:t>
      </w:r>
      <w:r w:rsidR="002C1CBB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 that is</w:t>
      </w:r>
      <w:r>
        <w:rPr>
          <w:sz w:val="22"/>
          <w:szCs w:val="22"/>
        </w:rPr>
        <w:t xml:space="preserve"> geared for a particular major:</w:t>
      </w:r>
      <w:r w:rsidR="00520C2E" w:rsidRPr="00520C2E">
        <w:rPr>
          <w:sz w:val="22"/>
          <w:szCs w:val="22"/>
        </w:rPr>
        <w:t xml:space="preserve"> you (and, if applicable, your roommate) must be interested in pursuing that maj</w:t>
      </w:r>
      <w:r w:rsidR="00FD7A64">
        <w:rPr>
          <w:sz w:val="22"/>
          <w:szCs w:val="22"/>
        </w:rPr>
        <w:t>or.  The Department of Residential</w:t>
      </w:r>
      <w:r w:rsidR="00520C2E" w:rsidRPr="00520C2E">
        <w:rPr>
          <w:sz w:val="22"/>
          <w:szCs w:val="22"/>
        </w:rPr>
        <w:t xml:space="preserve"> Life and your Academic Advisor will be working together to ensure both your housing and your academic/class schedule support the </w:t>
      </w:r>
      <w:r w:rsidR="002C1CBB">
        <w:rPr>
          <w:sz w:val="22"/>
          <w:szCs w:val="22"/>
        </w:rPr>
        <w:t>L-LC</w:t>
      </w:r>
      <w:r w:rsidR="00520C2E" w:rsidRPr="00520C2E">
        <w:rPr>
          <w:sz w:val="22"/>
          <w:szCs w:val="22"/>
        </w:rPr>
        <w:t xml:space="preserve"> programming.</w:t>
      </w:r>
    </w:p>
    <w:p w:rsidR="00520C2E" w:rsidRPr="00520C2E" w:rsidRDefault="00520C2E" w:rsidP="00520C2E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All students (including those accepted into an </w:t>
      </w:r>
      <w:r w:rsidR="002C1CBB">
        <w:rPr>
          <w:sz w:val="22"/>
          <w:szCs w:val="22"/>
        </w:rPr>
        <w:t>L-LC</w:t>
      </w:r>
      <w:r w:rsidRPr="00520C2E">
        <w:rPr>
          <w:sz w:val="22"/>
          <w:szCs w:val="22"/>
        </w:rPr>
        <w:t xml:space="preserve">) will be notified of their room and roommate assignments </w:t>
      </w:r>
      <w:r w:rsidR="00FD7A64">
        <w:rPr>
          <w:sz w:val="22"/>
          <w:szCs w:val="22"/>
        </w:rPr>
        <w:t>by the first week of August.</w:t>
      </w:r>
    </w:p>
    <w:p w:rsidR="000C6935" w:rsidRPr="000C6935" w:rsidRDefault="00520C2E" w:rsidP="000C6935">
      <w:pPr>
        <w:numPr>
          <w:ilvl w:val="0"/>
          <w:numId w:val="1"/>
        </w:numPr>
        <w:rPr>
          <w:sz w:val="22"/>
          <w:szCs w:val="22"/>
        </w:rPr>
      </w:pPr>
      <w:r w:rsidRPr="00520C2E">
        <w:rPr>
          <w:sz w:val="22"/>
          <w:szCs w:val="22"/>
        </w:rPr>
        <w:t xml:space="preserve">Questions about the various </w:t>
      </w:r>
      <w:r w:rsidR="002C1CBB">
        <w:rPr>
          <w:sz w:val="22"/>
          <w:szCs w:val="22"/>
        </w:rPr>
        <w:t>L-LC</w:t>
      </w:r>
      <w:r w:rsidR="00244D70">
        <w:rPr>
          <w:sz w:val="22"/>
          <w:szCs w:val="22"/>
        </w:rPr>
        <w:t xml:space="preserve">s can be directed to </w:t>
      </w:r>
      <w:hyperlink r:id="rId20" w:history="1">
        <w:r w:rsidR="00FD7A64" w:rsidRPr="0054307B">
          <w:rPr>
            <w:rStyle w:val="Hyperlink"/>
            <w:sz w:val="22"/>
            <w:szCs w:val="22"/>
          </w:rPr>
          <w:t>studentengagement@albany.edu</w:t>
        </w:r>
      </w:hyperlink>
      <w:r w:rsidR="008857BA">
        <w:rPr>
          <w:sz w:val="22"/>
          <w:szCs w:val="22"/>
        </w:rPr>
        <w:t xml:space="preserve"> </w:t>
      </w:r>
      <w:r w:rsidRPr="00520C2E">
        <w:rPr>
          <w:sz w:val="22"/>
          <w:szCs w:val="22"/>
        </w:rPr>
        <w:t xml:space="preserve">.  Questions about housing and housing/roommate assignments can be directed to the </w:t>
      </w:r>
      <w:r w:rsidR="00FD7A64">
        <w:rPr>
          <w:sz w:val="22"/>
          <w:szCs w:val="22"/>
        </w:rPr>
        <w:t>Department of Residential</w:t>
      </w:r>
      <w:r w:rsidRPr="00520C2E">
        <w:rPr>
          <w:sz w:val="22"/>
          <w:szCs w:val="22"/>
        </w:rPr>
        <w:t xml:space="preserve"> Life at </w:t>
      </w:r>
      <w:hyperlink r:id="rId21" w:history="1">
        <w:r w:rsidR="00BC0DFF">
          <w:rPr>
            <w:rStyle w:val="Hyperlink"/>
            <w:sz w:val="22"/>
            <w:szCs w:val="22"/>
          </w:rPr>
          <w:t>reslife</w:t>
        </w:r>
        <w:r w:rsidRPr="00520C2E">
          <w:rPr>
            <w:rStyle w:val="Hyperlink"/>
            <w:sz w:val="22"/>
            <w:szCs w:val="22"/>
          </w:rPr>
          <w:t>@uamail.albany.edu</w:t>
        </w:r>
      </w:hyperlink>
      <w:r w:rsidRPr="00520C2E">
        <w:rPr>
          <w:sz w:val="22"/>
          <w:szCs w:val="22"/>
        </w:rPr>
        <w:t>.</w:t>
      </w:r>
    </w:p>
    <w:p w:rsidR="00101C90" w:rsidRDefault="00101C90">
      <w:pPr>
        <w:rPr>
          <w:sz w:val="22"/>
          <w:szCs w:val="22"/>
        </w:rPr>
      </w:pPr>
    </w:p>
    <w:p w:rsidR="00B2133A" w:rsidRPr="00101C90" w:rsidRDefault="00DD63A7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299085</wp:posOffset>
                </wp:positionV>
                <wp:extent cx="3120390" cy="977265"/>
                <wp:effectExtent l="12065" t="13335" r="1079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39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C90" w:rsidRDefault="00101C90">
                            <w:r>
                              <w:t>“Working with the L-LC students was a real joy. They have enthusiasm and passion for being at UAlbany and are very open to ideas from professors and the upper-class mentors.”</w:t>
                            </w:r>
                          </w:p>
                          <w:p w:rsidR="00101C90" w:rsidRDefault="00101C90">
                            <w:r>
                              <w:tab/>
                              <w:t>~Prof. Joe Sheehan, LLC 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.45pt;margin-top:23.55pt;width:245.7pt;height:76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">
                <v:textbox style="mso-fit-shape-to-text:t">
                  <w:txbxContent>
                    <w:p w:rsidR="00101C90" w:rsidRDefault="00101C90">
                      <w:r>
                        <w:t>“Working with the L-LC students was a real joy. They have enthusiasm and passion for being at UAlbany and are very open to ideas from professors and the upper-class mentors.”</w:t>
                      </w:r>
                    </w:p>
                    <w:p w:rsidR="00101C90" w:rsidRDefault="00101C90">
                      <w:r>
                        <w:tab/>
                        <w:t>~Prof. Joe Sheehan, LLC Professor</w:t>
                      </w:r>
                    </w:p>
                  </w:txbxContent>
                </v:textbox>
              </v:shape>
            </w:pict>
          </mc:Fallback>
        </mc:AlternateContent>
      </w:r>
      <w:r w:rsidR="001A79EF">
        <w:t xml:space="preserve">   </w:t>
      </w:r>
      <w:r w:rsidR="00103561">
        <w:t xml:space="preserve">                                                                                     </w:t>
      </w:r>
      <w:r w:rsidR="00103561">
        <w:rPr>
          <w:noProof/>
        </w:rPr>
        <w:drawing>
          <wp:inline distT="0" distB="0" distL="0" distR="0">
            <wp:extent cx="2495948" cy="1869164"/>
            <wp:effectExtent l="19050" t="0" r="0" b="0"/>
            <wp:docPr id="160" name="Picture 160" descr="http://a5.sphotos.ak.fbcdn.net/hphotos-ak-snc6/182220_197854903560518_116288431717166_739164_6335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a5.sphotos.ak.fbcdn.net/hphotos-ak-snc6/182220_197854903560518_116288431717166_739164_6335242_n.jp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00" cy="187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9EF">
        <w:t xml:space="preserve">        </w:t>
      </w:r>
    </w:p>
    <w:sectPr w:rsidR="00B2133A" w:rsidRPr="00101C90" w:rsidSect="00B2133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694"/>
    <w:multiLevelType w:val="hybridMultilevel"/>
    <w:tmpl w:val="762E33D2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B8C164">
      <w:start w:val="1"/>
      <w:numFmt w:val="bullet"/>
      <w:lvlText w:val="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417310"/>
    <w:multiLevelType w:val="hybridMultilevel"/>
    <w:tmpl w:val="15C441F8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0E1B4C">
      <w:start w:val="1"/>
      <w:numFmt w:val="bullet"/>
      <w:lvlText w:val="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15377A"/>
    <w:multiLevelType w:val="multilevel"/>
    <w:tmpl w:val="15C44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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0C22F9"/>
    <w:multiLevelType w:val="hybridMultilevel"/>
    <w:tmpl w:val="1ECAA2F6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C547E6"/>
    <w:multiLevelType w:val="hybridMultilevel"/>
    <w:tmpl w:val="081EBCDA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4869B8"/>
    <w:multiLevelType w:val="hybridMultilevel"/>
    <w:tmpl w:val="F9780D42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D0E1B4C">
      <w:start w:val="1"/>
      <w:numFmt w:val="bullet"/>
      <w:lvlText w:val="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15C1F32"/>
    <w:multiLevelType w:val="hybridMultilevel"/>
    <w:tmpl w:val="BF709F4E"/>
    <w:lvl w:ilvl="0" w:tplc="29DC5A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66E720">
      <w:start w:val="1"/>
      <w:numFmt w:val="bullet"/>
      <w:lvlText w:val="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AF"/>
    <w:rsid w:val="00062967"/>
    <w:rsid w:val="000B1F0E"/>
    <w:rsid w:val="000C6935"/>
    <w:rsid w:val="000D09BE"/>
    <w:rsid w:val="00101C90"/>
    <w:rsid w:val="00101CD4"/>
    <w:rsid w:val="00103561"/>
    <w:rsid w:val="001A79EF"/>
    <w:rsid w:val="001C039E"/>
    <w:rsid w:val="00244D70"/>
    <w:rsid w:val="00293BD5"/>
    <w:rsid w:val="002A5E45"/>
    <w:rsid w:val="002C1CBB"/>
    <w:rsid w:val="0042042B"/>
    <w:rsid w:val="004665D4"/>
    <w:rsid w:val="00520C2E"/>
    <w:rsid w:val="005C2C91"/>
    <w:rsid w:val="006377E4"/>
    <w:rsid w:val="006445E9"/>
    <w:rsid w:val="00650820"/>
    <w:rsid w:val="00652356"/>
    <w:rsid w:val="006E36D5"/>
    <w:rsid w:val="007A17F5"/>
    <w:rsid w:val="00823038"/>
    <w:rsid w:val="00840FE0"/>
    <w:rsid w:val="008857BA"/>
    <w:rsid w:val="008A6BE6"/>
    <w:rsid w:val="00A958AF"/>
    <w:rsid w:val="00B2133A"/>
    <w:rsid w:val="00BC0DFF"/>
    <w:rsid w:val="00CF69DE"/>
    <w:rsid w:val="00D87393"/>
    <w:rsid w:val="00DB576C"/>
    <w:rsid w:val="00DD63A7"/>
    <w:rsid w:val="00E667FE"/>
    <w:rsid w:val="00EA0F60"/>
    <w:rsid w:val="00EC5D5C"/>
    <w:rsid w:val="00F04CE2"/>
    <w:rsid w:val="00FD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0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4D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1CD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C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0C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7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4D7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1C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http://www.albany.edu/gogreen/images/reverse_vending.jpg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hyperlink" Target="mailto:_______@uamail.albany.edu" TargetMode="External"/><Relationship Id="rId7" Type="http://schemas.openxmlformats.org/officeDocument/2006/relationships/image" Target="http://www.albany.edu/gogreen/images/expertiseatUalbany.jpg" TargetMode="External"/><Relationship Id="rId12" Type="http://schemas.openxmlformats.org/officeDocument/2006/relationships/image" Target="media/image4.jpeg"/><Relationship Id="rId17" Type="http://schemas.openxmlformats.org/officeDocument/2006/relationships/image" Target="http://www.albany.edu/gogreen/images/Energy_Scene.jp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mailto:studentengagement@albany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://www.albany.edu/gogreen/images/recycling_scorecard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http://www.albany.edu/gogreen/images/biodegradable_adjusted.jpg" TargetMode="External"/><Relationship Id="rId23" Type="http://schemas.openxmlformats.org/officeDocument/2006/relationships/image" Target="http://a5.sphotos.ak.fbcdn.net/hphotos-ak-snc6/182220_197854903560518_116288431717166_739164_6335242_n.jpg" TargetMode="External"/><Relationship Id="rId10" Type="http://schemas.openxmlformats.org/officeDocument/2006/relationships/image" Target="media/image3.jpeg"/><Relationship Id="rId19" Type="http://schemas.openxmlformats.org/officeDocument/2006/relationships/image" Target="http://www.albany.edu/gogreen/images/council201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bany.edu/gogreen/recycling-scorecard.s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World of Business Living and Learning Community</vt:lpstr>
    </vt:vector>
  </TitlesOfParts>
  <Company>UAlbany</Company>
  <LinksUpToDate>false</LinksUpToDate>
  <CharactersWithSpaces>4316</CharactersWithSpaces>
  <SharedDoc>false</SharedDoc>
  <HLinks>
    <vt:vector size="18" baseType="variant">
      <vt:variant>
        <vt:i4>5832734</vt:i4>
      </vt:variant>
      <vt:variant>
        <vt:i4>12</vt:i4>
      </vt:variant>
      <vt:variant>
        <vt:i4>0</vt:i4>
      </vt:variant>
      <vt:variant>
        <vt:i4>5</vt:i4>
      </vt:variant>
      <vt:variant>
        <vt:lpwstr>mailto:_______@uamail.albany.edu</vt:lpwstr>
      </vt:variant>
      <vt:variant>
        <vt:lpwstr/>
      </vt:variant>
      <vt:variant>
        <vt:i4>3473497</vt:i4>
      </vt:variant>
      <vt:variant>
        <vt:i4>9</vt:i4>
      </vt:variant>
      <vt:variant>
        <vt:i4>0</vt:i4>
      </vt:variant>
      <vt:variant>
        <vt:i4>5</vt:i4>
      </vt:variant>
      <vt:variant>
        <vt:lpwstr>mailto:studentengagement@uamail.albany.edu</vt:lpwstr>
      </vt:variant>
      <vt:variant>
        <vt:lpwstr/>
      </vt:variant>
      <vt:variant>
        <vt:i4>7077944</vt:i4>
      </vt:variant>
      <vt:variant>
        <vt:i4>3</vt:i4>
      </vt:variant>
      <vt:variant>
        <vt:i4>0</vt:i4>
      </vt:variant>
      <vt:variant>
        <vt:i4>5</vt:i4>
      </vt:variant>
      <vt:variant>
        <vt:lpwstr>http://www.albany.edu/gogreen/recycling-scorecard.shtml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World of Business Living and Learning Community</dc:title>
  <dc:subject/>
  <dc:creator>Business</dc:creator>
  <cp:keywords/>
  <dc:description/>
  <cp:lastModifiedBy>Hughes-Morey, Gail</cp:lastModifiedBy>
  <cp:revision>2</cp:revision>
  <cp:lastPrinted>2011-02-09T16:14:00Z</cp:lastPrinted>
  <dcterms:created xsi:type="dcterms:W3CDTF">2011-08-23T12:55:00Z</dcterms:created>
  <dcterms:modified xsi:type="dcterms:W3CDTF">2011-08-23T12:55:00Z</dcterms:modified>
</cp:coreProperties>
</file>